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79848">
      <w:pPr>
        <w:widowControl/>
        <w:adjustRightInd w:val="0"/>
        <w:snapToGrid w:val="0"/>
        <w:spacing w:line="360" w:lineRule="auto"/>
        <w:ind w:left="-2" w:leftChars="-1" w:firstLine="2"/>
        <w:jc w:val="center"/>
        <w:rPr>
          <w:rFonts w:ascii="Times New Roman" w:hAnsi="Times New Roman" w:eastAsia="PMingLiU" w:cs="Times New Roman"/>
          <w:b/>
          <w:kern w:val="0"/>
          <w:sz w:val="36"/>
          <w:szCs w:val="24"/>
        </w:rPr>
      </w:pPr>
      <w:r>
        <w:rPr>
          <w:rFonts w:ascii="Times New Roman" w:hAnsi="Times New Roman" w:eastAsia="PMingLiU" w:cs="Times New Roman"/>
          <w:b/>
          <w:kern w:val="0"/>
          <w:sz w:val="36"/>
          <w:szCs w:val="24"/>
        </w:rPr>
        <w:t>A meta</w:t>
      </w:r>
      <w:bookmarkStart w:id="0" w:name="_GoBack"/>
      <w:bookmarkEnd w:id="0"/>
      <w:r>
        <w:rPr>
          <w:rFonts w:ascii="Times New Roman" w:hAnsi="Times New Roman" w:eastAsia="PMingLiU" w:cs="Times New Roman"/>
          <w:b/>
          <w:kern w:val="0"/>
          <w:sz w:val="36"/>
          <w:szCs w:val="24"/>
        </w:rPr>
        <w:t>phor-based robot programming approach</w:t>
      </w:r>
      <w:r>
        <w:rPr>
          <w:rFonts w:hint="eastAsia" w:ascii="Times New Roman" w:hAnsi="Times New Roman" w:eastAsia="PMingLiU" w:cs="Times New Roman"/>
          <w:b/>
          <w:kern w:val="0"/>
          <w:sz w:val="36"/>
          <w:szCs w:val="24"/>
        </w:rPr>
        <w:t xml:space="preserve"> </w:t>
      </w:r>
      <w:r>
        <w:rPr>
          <w:rFonts w:ascii="Times New Roman" w:hAnsi="Times New Roman" w:eastAsia="PMingLiU" w:cs="Times New Roman"/>
          <w:b/>
          <w:kern w:val="0"/>
          <w:sz w:val="36"/>
          <w:szCs w:val="24"/>
        </w:rPr>
        <w:t>to facilitating</w:t>
      </w:r>
      <w:r>
        <w:rPr>
          <w:rFonts w:hint="eastAsia" w:ascii="Times New Roman" w:hAnsi="Times New Roman" w:eastAsia="PMingLiU" w:cs="Times New Roman"/>
          <w:b/>
          <w:kern w:val="0"/>
          <w:sz w:val="36"/>
          <w:szCs w:val="24"/>
        </w:rPr>
        <w:t xml:space="preserve"> young children</w:t>
      </w:r>
      <w:r>
        <w:rPr>
          <w:rFonts w:ascii="Times New Roman" w:hAnsi="Times New Roman" w:eastAsia="PMingLiU" w:cs="Times New Roman"/>
          <w:b/>
          <w:kern w:val="0"/>
          <w:sz w:val="36"/>
          <w:szCs w:val="24"/>
        </w:rPr>
        <w:t>’</w:t>
      </w:r>
      <w:r>
        <w:rPr>
          <w:rFonts w:hint="eastAsia" w:ascii="Times New Roman" w:hAnsi="Times New Roman" w:eastAsia="PMingLiU" w:cs="Times New Roman"/>
          <w:b/>
          <w:kern w:val="0"/>
          <w:sz w:val="36"/>
          <w:szCs w:val="24"/>
        </w:rPr>
        <w:t xml:space="preserve">s computational thinking and </w:t>
      </w:r>
      <w:r>
        <w:rPr>
          <w:rFonts w:ascii="Times New Roman" w:hAnsi="Times New Roman" w:eastAsia="PMingLiU" w:cs="Times New Roman"/>
          <w:b/>
          <w:kern w:val="0"/>
          <w:sz w:val="36"/>
          <w:szCs w:val="24"/>
        </w:rPr>
        <w:t xml:space="preserve">positive learning </w:t>
      </w:r>
      <w:r>
        <w:rPr>
          <w:rFonts w:hint="eastAsia" w:ascii="Times New Roman" w:hAnsi="Times New Roman" w:eastAsia="PMingLiU" w:cs="Times New Roman"/>
          <w:b/>
          <w:kern w:val="0"/>
          <w:sz w:val="36"/>
          <w:szCs w:val="24"/>
        </w:rPr>
        <w:t>behaviors</w:t>
      </w:r>
    </w:p>
    <w:p w14:paraId="08388AC6">
      <w:pPr>
        <w:widowControl/>
        <w:adjustRightInd w:val="0"/>
        <w:snapToGrid w:val="0"/>
        <w:spacing w:line="360" w:lineRule="auto"/>
        <w:ind w:left="-2" w:leftChars="-1" w:firstLine="2"/>
        <w:jc w:val="center"/>
        <w:rPr>
          <w:rFonts w:ascii="Times New Roman" w:hAnsi="Times New Roman" w:eastAsia="PMingLiU" w:cs="Times New Roman"/>
          <w:b/>
          <w:kern w:val="0"/>
          <w:sz w:val="36"/>
          <w:szCs w:val="24"/>
        </w:rPr>
      </w:pPr>
    </w:p>
    <w:p w14:paraId="01788628">
      <w:pPr>
        <w:widowControl/>
        <w:adjustRightInd w:val="0"/>
        <w:snapToGrid w:val="0"/>
        <w:spacing w:line="360" w:lineRule="auto"/>
        <w:ind w:left="-2" w:leftChars="-1" w:firstLine="1"/>
        <w:jc w:val="center"/>
        <w:rPr>
          <w:rFonts w:ascii="Times New Roman" w:hAnsi="Times New Roman" w:cs="Times New Roman"/>
          <w:b/>
          <w:sz w:val="28"/>
        </w:rPr>
      </w:pPr>
    </w:p>
    <w:p w14:paraId="64FBA6A1">
      <w:pPr>
        <w:widowControl/>
        <w:adjustRightInd w:val="0"/>
        <w:snapToGrid w:val="0"/>
        <w:spacing w:line="360" w:lineRule="auto"/>
        <w:ind w:left="-2" w:leftChars="-1" w:firstLine="1"/>
        <w:jc w:val="center"/>
        <w:rPr>
          <w:rFonts w:ascii="Times New Roman" w:hAnsi="Times New Roman" w:cs="Times New Roman"/>
          <w:b/>
          <w:sz w:val="28"/>
        </w:rPr>
      </w:pPr>
      <w:r>
        <w:rPr>
          <w:rFonts w:hint="eastAsia" w:ascii="Times New Roman" w:hAnsi="Times New Roman" w:cs="Times New Roman"/>
          <w:b/>
          <w:sz w:val="28"/>
        </w:rPr>
        <w:t>A</w:t>
      </w:r>
      <w:r>
        <w:rPr>
          <w:rFonts w:ascii="Times New Roman" w:hAnsi="Times New Roman" w:cs="Times New Roman"/>
          <w:b/>
          <w:sz w:val="28"/>
        </w:rPr>
        <w:t>bstract</w:t>
      </w:r>
    </w:p>
    <w:p w14:paraId="046A5283">
      <w:pPr>
        <w:widowControl/>
        <w:adjustRightInd w:val="0"/>
        <w:snapToGrid w:val="0"/>
        <w:spacing w:line="360" w:lineRule="auto"/>
        <w:ind w:firstLine="480" w:firstLineChars="200"/>
        <w:jc w:val="both"/>
        <w:rPr>
          <w:rFonts w:ascii="Times New Roman" w:hAnsi="Times New Roman" w:eastAsia="標楷體" w:cs="PMingLiU"/>
          <w:kern w:val="0"/>
          <w:szCs w:val="24"/>
        </w:rPr>
      </w:pPr>
      <w:r>
        <w:rPr>
          <w:rFonts w:ascii="Times New Roman" w:hAnsi="Times New Roman" w:eastAsia="標楷體" w:cs="PMingLiU"/>
          <w:kern w:val="0"/>
          <w:szCs w:val="24"/>
        </w:rPr>
        <w:t xml:space="preserve">In the artificial intelligence age, cultivating young children’s computational thinking (CT) has sparked tremendous attention. </w:t>
      </w:r>
      <w:r>
        <w:rPr>
          <w:rFonts w:hint="eastAsia" w:ascii="Times New Roman" w:hAnsi="Times New Roman" w:eastAsia="標楷體" w:cs="PMingLiU"/>
          <w:kern w:val="0"/>
          <w:szCs w:val="24"/>
        </w:rPr>
        <w:t>Programmable robotics</w:t>
      </w:r>
      <w:r>
        <w:rPr>
          <w:rFonts w:ascii="Times New Roman" w:hAnsi="Times New Roman" w:eastAsia="標楷體" w:cs="PMingLiU"/>
          <w:kern w:val="0"/>
          <w:szCs w:val="24"/>
        </w:rPr>
        <w:t xml:space="preserve"> is a developmental-appropriate and screen-free means that provides </w:t>
      </w:r>
      <w:r>
        <w:rPr>
          <w:rFonts w:ascii="Times New Roman" w:hAnsi="Times New Roman" w:eastAsia="標楷體" w:cs="PMingLiU"/>
          <w:kern w:val="0"/>
          <w:szCs w:val="24"/>
          <w:highlight w:val="none"/>
        </w:rPr>
        <w:t>young</w:t>
      </w:r>
      <w:r>
        <w:rPr>
          <w:rFonts w:ascii="Times New Roman" w:hAnsi="Times New Roman" w:eastAsia="標楷體" w:cs="PMingLiU"/>
          <w:kern w:val="0"/>
          <w:szCs w:val="24"/>
        </w:rPr>
        <w:t xml:space="preserve"> children with great opportunities to learn programming and </w:t>
      </w:r>
      <w:r>
        <w:rPr>
          <w:rFonts w:hint="eastAsia" w:ascii="Times New Roman" w:hAnsi="Times New Roman" w:eastAsia="標楷體" w:cs="PMingLiU"/>
          <w:kern w:val="0"/>
          <w:szCs w:val="24"/>
        </w:rPr>
        <w:t xml:space="preserve">develop </w:t>
      </w:r>
      <w:r>
        <w:rPr>
          <w:rFonts w:ascii="Times New Roman" w:hAnsi="Times New Roman" w:eastAsia="標楷體" w:cs="PMingLiU"/>
          <w:kern w:val="0"/>
          <w:szCs w:val="24"/>
        </w:rPr>
        <w:t xml:space="preserve">CT. However, it </w:t>
      </w:r>
      <w:r>
        <w:rPr>
          <w:rFonts w:hint="eastAsia" w:ascii="Times New Roman" w:hAnsi="Times New Roman" w:eastAsia="標楷體" w:cs="PMingLiU"/>
          <w:kern w:val="0"/>
          <w:szCs w:val="24"/>
          <w:lang w:eastAsia="zh-CN"/>
        </w:rPr>
        <w:t>is</w:t>
      </w:r>
      <w:r>
        <w:rPr>
          <w:rFonts w:ascii="Times New Roman" w:hAnsi="Times New Roman" w:eastAsia="標楷體" w:cs="PMingLiU"/>
          <w:kern w:val="0"/>
          <w:szCs w:val="24"/>
        </w:rPr>
        <w:t xml:space="preserve"> reported that young children might have difficulties learning abstract CT concepts. As a</w:t>
      </w:r>
      <w:r>
        <w:rPr>
          <w:rFonts w:hint="eastAsia" w:ascii="Times New Roman" w:hAnsi="Times New Roman" w:eastAsia="標楷體" w:cs="PMingLiU"/>
          <w:kern w:val="0"/>
          <w:szCs w:val="24"/>
        </w:rPr>
        <w:t xml:space="preserve"> helpful</w:t>
      </w:r>
      <w:r>
        <w:rPr>
          <w:rFonts w:ascii="Times New Roman" w:hAnsi="Times New Roman" w:eastAsia="標楷體" w:cs="PMingLiU"/>
          <w:kern w:val="0"/>
          <w:szCs w:val="24"/>
        </w:rPr>
        <w:t xml:space="preserve"> pedagogical facilitator, metaphors can help turn abstract concepts into more concrete and clear concepts that learners are familiar with. Therefore, this research proposed a metaphor-based robot programming (MRP) approach and explore</w:t>
      </w:r>
      <w:r>
        <w:rPr>
          <w:rFonts w:hint="eastAsia" w:ascii="Times New Roman" w:hAnsi="Times New Roman" w:eastAsia="標楷體" w:cs="PMingLiU"/>
          <w:kern w:val="0"/>
          <w:szCs w:val="24"/>
          <w:lang w:eastAsia="zh-CN"/>
        </w:rPr>
        <w:t>d</w:t>
      </w:r>
      <w:r>
        <w:rPr>
          <w:rFonts w:ascii="Times New Roman" w:hAnsi="Times New Roman" w:eastAsia="標楷體" w:cs="PMingLiU"/>
          <w:kern w:val="0"/>
          <w:szCs w:val="24"/>
        </w:rPr>
        <w:t xml:space="preserve"> its impact on young children’s CT and </w:t>
      </w:r>
      <w:r>
        <w:rPr>
          <w:rFonts w:hint="eastAsia" w:ascii="Times New Roman" w:hAnsi="Times New Roman" w:eastAsia="標楷體" w:cs="PMingLiU"/>
          <w:kern w:val="0"/>
          <w:szCs w:val="24"/>
        </w:rPr>
        <w:t>behavioral</w:t>
      </w:r>
      <w:r>
        <w:rPr>
          <w:rFonts w:ascii="Times New Roman" w:hAnsi="Times New Roman" w:eastAsia="標楷體" w:cs="PMingLiU"/>
          <w:kern w:val="0"/>
          <w:szCs w:val="24"/>
        </w:rPr>
        <w:t xml:space="preserve"> </w:t>
      </w:r>
      <w:r>
        <w:rPr>
          <w:rFonts w:hint="eastAsia" w:ascii="Times New Roman" w:hAnsi="Times New Roman" w:eastAsia="標楷體" w:cs="PMingLiU"/>
          <w:kern w:val="0"/>
          <w:szCs w:val="24"/>
        </w:rPr>
        <w:t>patterns</w:t>
      </w:r>
      <w:r>
        <w:rPr>
          <w:rFonts w:ascii="Times New Roman" w:hAnsi="Times New Roman" w:eastAsia="標楷體" w:cs="PMingLiU"/>
          <w:kern w:val="0"/>
          <w:szCs w:val="24"/>
        </w:rPr>
        <w:t xml:space="preserve">. A total of 118 </w:t>
      </w:r>
      <w:r>
        <w:rPr>
          <w:rFonts w:hint="eastAsia" w:ascii="Times New Roman" w:hAnsi="Times New Roman" w:eastAsia="標楷體" w:cs="PMingLiU"/>
          <w:kern w:val="0"/>
          <w:szCs w:val="24"/>
        </w:rPr>
        <w:t>children</w:t>
      </w:r>
      <w:r>
        <w:rPr>
          <w:rFonts w:ascii="Times New Roman" w:hAnsi="Times New Roman" w:eastAsia="標楷體" w:cs="PMingLiU"/>
          <w:kern w:val="0"/>
          <w:szCs w:val="24"/>
        </w:rPr>
        <w:t xml:space="preserve"> aged 5-6 were recruited in this experiment with two conditions: the experimental group adopted the metaphor-based robot programming (MRP) approach while the control group used the conventional robot programming (CRP) approach. Results revealed that children who adopted the MRP approach outperformed children who adopted the CRP approach on CT. In addition, behavioral analysis indicated </w:t>
      </w:r>
      <w:r>
        <w:rPr>
          <w:rFonts w:hint="eastAsia" w:ascii="Times New Roman" w:hAnsi="Times New Roman" w:eastAsia="標楷體" w:cs="PMingLiU"/>
          <w:kern w:val="0"/>
          <w:szCs w:val="24"/>
          <w:lang w:eastAsia="zh-CN"/>
        </w:rPr>
        <w:t xml:space="preserve">that </w:t>
      </w:r>
      <w:r>
        <w:rPr>
          <w:rFonts w:ascii="Times New Roman" w:hAnsi="Times New Roman" w:eastAsia="標楷體" w:cs="PMingLiU"/>
          <w:kern w:val="0"/>
          <w:szCs w:val="24"/>
        </w:rPr>
        <w:t xml:space="preserve">the proposed MRP approach could facilitate children’s superior learning performance and more positive </w:t>
      </w:r>
      <w:r>
        <w:rPr>
          <w:rFonts w:hint="eastAsia" w:ascii="Times New Roman" w:hAnsi="Times New Roman" w:eastAsia="標楷體" w:cs="PMingLiU"/>
          <w:kern w:val="0"/>
          <w:szCs w:val="24"/>
        </w:rPr>
        <w:t xml:space="preserve">learning </w:t>
      </w:r>
      <w:r>
        <w:rPr>
          <w:rFonts w:ascii="Times New Roman" w:hAnsi="Times New Roman" w:eastAsia="標楷體" w:cs="PMingLiU"/>
          <w:kern w:val="0"/>
          <w:szCs w:val="24"/>
        </w:rPr>
        <w:t xml:space="preserve">behaviors, so as to help them achieve learning objectives. Accordingly, this study can provide insightful guidance and inspiration for future research on effective programming </w:t>
      </w:r>
      <w:r>
        <w:rPr>
          <w:rFonts w:hint="eastAsia" w:ascii="Times New Roman" w:hAnsi="Times New Roman" w:eastAsia="標楷體" w:cs="PMingLiU"/>
          <w:kern w:val="0"/>
          <w:szCs w:val="24"/>
        </w:rPr>
        <w:t xml:space="preserve">teaching </w:t>
      </w:r>
      <w:r>
        <w:rPr>
          <w:rFonts w:ascii="Times New Roman" w:hAnsi="Times New Roman" w:eastAsia="標楷體" w:cs="PMingLiU"/>
          <w:kern w:val="0"/>
          <w:szCs w:val="24"/>
        </w:rPr>
        <w:t xml:space="preserve">and CT </w:t>
      </w:r>
      <w:r>
        <w:rPr>
          <w:rFonts w:hint="eastAsia" w:ascii="Times New Roman" w:hAnsi="Times New Roman" w:eastAsia="標楷體" w:cs="PMingLiU"/>
          <w:kern w:val="0"/>
          <w:szCs w:val="24"/>
        </w:rPr>
        <w:t>development</w:t>
      </w:r>
      <w:r>
        <w:rPr>
          <w:rFonts w:ascii="Times New Roman" w:hAnsi="Times New Roman" w:eastAsia="標楷體" w:cs="PMingLiU"/>
          <w:kern w:val="0"/>
          <w:szCs w:val="24"/>
        </w:rPr>
        <w:t xml:space="preserve"> for young children.</w:t>
      </w:r>
    </w:p>
    <w:p w14:paraId="73AB998B">
      <w:pPr>
        <w:widowControl/>
        <w:adjustRightInd w:val="0"/>
        <w:snapToGrid w:val="0"/>
        <w:spacing w:line="360" w:lineRule="auto"/>
        <w:ind w:firstLine="480" w:firstLineChars="200"/>
        <w:jc w:val="both"/>
        <w:rPr>
          <w:rFonts w:ascii="Times New Roman" w:hAnsi="Times New Roman" w:eastAsia="標楷體" w:cs="PMingLiU"/>
          <w:kern w:val="0"/>
          <w:szCs w:val="24"/>
        </w:rPr>
      </w:pPr>
    </w:p>
    <w:p w14:paraId="70B60F88">
      <w:pPr>
        <w:spacing w:line="360" w:lineRule="auto"/>
        <w:jc w:val="both"/>
        <w:rPr>
          <w:rFonts w:ascii="Times New Roman" w:hAnsi="Times New Roman" w:cs="Times New Roman"/>
          <w:szCs w:val="24"/>
          <w:lang w:eastAsia="zh-CN"/>
        </w:rPr>
      </w:pPr>
      <w:r>
        <w:rPr>
          <w:rStyle w:val="23"/>
          <w:rFonts w:hint="eastAsia" w:ascii="Times New Roman" w:hAnsi="Times New Roman" w:eastAsia="標楷體" w:cs="PMingLiU"/>
          <w:b/>
          <w:kern w:val="0"/>
          <w:szCs w:val="24"/>
        </w:rPr>
        <w:t>Keywords:</w:t>
      </w:r>
      <w:r>
        <w:rPr>
          <w:rStyle w:val="23"/>
          <w:rFonts w:eastAsia="標楷體" w:cs="PMingLiU"/>
          <w:b/>
          <w:kern w:val="0"/>
        </w:rPr>
        <w:t xml:space="preserve"> </w:t>
      </w:r>
      <w:r>
        <w:rPr>
          <w:rStyle w:val="24"/>
          <w:rFonts w:ascii="Times New Roman" w:hAnsi="Times New Roman" w:cs="Times New Roman"/>
          <w:bCs/>
          <w:szCs w:val="24"/>
        </w:rPr>
        <w:t>Teaching/learning strategies; Improving classroom teaching; Pedagogical issues; Interactive learning environments</w:t>
      </w:r>
      <w:r>
        <w:rPr>
          <w:rStyle w:val="24"/>
          <w:rFonts w:hint="eastAsia" w:ascii="Times New Roman" w:hAnsi="Times New Roman" w:cs="Times New Roman"/>
          <w:bCs/>
          <w:szCs w:val="24"/>
          <w:lang w:eastAsia="zh-CN"/>
        </w:rPr>
        <w:t xml:space="preserve">; </w:t>
      </w:r>
      <w:r>
        <w:rPr>
          <w:rStyle w:val="24"/>
          <w:rFonts w:hint="eastAsia" w:ascii="Times New Roman" w:hAnsi="Times New Roman" w:cs="Times New Roman"/>
          <w:bCs/>
          <w:color w:val="C00000"/>
          <w:szCs w:val="24"/>
          <w:lang w:eastAsia="zh-CN"/>
        </w:rPr>
        <w:t>Metaphors; Computational thinking; Early childhood education</w:t>
      </w:r>
    </w:p>
    <w:p w14:paraId="2D542641">
      <w:pPr>
        <w:widowControl/>
        <w:rPr>
          <w:rFonts w:ascii="Times New Roman" w:hAnsi="Times New Roman" w:cs="Times New Roman"/>
          <w:b/>
          <w:sz w:val="28"/>
          <w:szCs w:val="28"/>
        </w:rPr>
      </w:pPr>
      <w:r>
        <w:rPr>
          <w:rFonts w:ascii="Times New Roman" w:hAnsi="Times New Roman" w:cs="Times New Roman"/>
          <w:b/>
          <w:sz w:val="28"/>
          <w:szCs w:val="28"/>
        </w:rPr>
        <w:br w:type="page"/>
      </w:r>
    </w:p>
    <w:p w14:paraId="63094E1F">
      <w:pPr>
        <w:pStyle w:val="20"/>
        <w:numPr>
          <w:ilvl w:val="0"/>
          <w:numId w:val="1"/>
        </w:numPr>
        <w:adjustRightInd w:val="0"/>
        <w:snapToGrid w:val="0"/>
        <w:spacing w:line="360" w:lineRule="auto"/>
        <w:ind w:leftChars="0"/>
        <w:jc w:val="both"/>
        <w:rPr>
          <w:rFonts w:ascii="Times New Roman" w:hAnsi="Times New Roman" w:cs="Times New Roman"/>
          <w:b/>
          <w:sz w:val="28"/>
        </w:rPr>
      </w:pPr>
      <w:r>
        <w:rPr>
          <w:rFonts w:hint="eastAsia" w:ascii="Times New Roman" w:hAnsi="Times New Roman" w:cs="Times New Roman"/>
          <w:b/>
          <w:sz w:val="28"/>
        </w:rPr>
        <w:t>In</w:t>
      </w:r>
      <w:r>
        <w:rPr>
          <w:rFonts w:ascii="Times New Roman" w:hAnsi="Times New Roman" w:cs="Times New Roman"/>
          <w:b/>
          <w:sz w:val="28"/>
        </w:rPr>
        <w:t>troduction</w:t>
      </w:r>
    </w:p>
    <w:p w14:paraId="5605B35C">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In the artificial intelligence era, computational thinking (CT), an essential digital competence for everyone, has received tremendous attention (Bers, 2019; Grover &amp; Pea, 2013). CT refers to a thinking skill that draws on basic computer science concepts to solve not only technological problems but also real-life problems (Wing, 2006). Globally, CT has been integrated into the K-12 curriculum in the U</w:t>
      </w:r>
      <w:r>
        <w:rPr>
          <w:rFonts w:ascii="Times New Roman" w:hAnsi="Times New Roman" w:cs="Times New Roman"/>
        </w:rPr>
        <w:t>nited States</w:t>
      </w:r>
      <w:r>
        <w:rPr>
          <w:rFonts w:hint="eastAsia" w:ascii="Times New Roman" w:hAnsi="Times New Roman" w:cs="Times New Roman"/>
        </w:rPr>
        <w:t xml:space="preserve">, </w:t>
      </w:r>
      <w:r>
        <w:rPr>
          <w:rFonts w:ascii="Times New Roman" w:hAnsi="Times New Roman" w:cs="Times New Roman"/>
        </w:rPr>
        <w:t xml:space="preserve">the </w:t>
      </w:r>
      <w:r>
        <w:rPr>
          <w:rFonts w:hint="eastAsia" w:ascii="Times New Roman" w:hAnsi="Times New Roman" w:cs="Times New Roman"/>
        </w:rPr>
        <w:t>U</w:t>
      </w:r>
      <w:r>
        <w:rPr>
          <w:rFonts w:ascii="Times New Roman" w:hAnsi="Times New Roman" w:cs="Times New Roman"/>
        </w:rPr>
        <w:t xml:space="preserve">nited </w:t>
      </w:r>
      <w:r>
        <w:rPr>
          <w:rFonts w:hint="eastAsia" w:ascii="Times New Roman" w:hAnsi="Times New Roman" w:cs="Times New Roman"/>
        </w:rPr>
        <w:t>K</w:t>
      </w:r>
      <w:r>
        <w:rPr>
          <w:rFonts w:ascii="Times New Roman" w:hAnsi="Times New Roman" w:cs="Times New Roman"/>
        </w:rPr>
        <w:t>ingdom</w:t>
      </w:r>
      <w:r>
        <w:rPr>
          <w:rFonts w:hint="eastAsia" w:ascii="Times New Roman" w:hAnsi="Times New Roman" w:cs="Times New Roman"/>
        </w:rPr>
        <w:t xml:space="preserve">, Finland, China, </w:t>
      </w:r>
      <w:r>
        <w:rPr>
          <w:rFonts w:ascii="Times New Roman" w:hAnsi="Times New Roman" w:cs="Times New Roman"/>
        </w:rPr>
        <w:t>and other countries</w:t>
      </w:r>
      <w:r>
        <w:rPr>
          <w:rFonts w:hint="eastAsia" w:ascii="Times New Roman" w:hAnsi="Times New Roman" w:cs="Times New Roman"/>
        </w:rPr>
        <w:t xml:space="preserve"> (Angeli &amp; Giannakos, 2020; Heintz et al., 2016). Recent works </w:t>
      </w:r>
      <w:r>
        <w:rPr>
          <w:rFonts w:ascii="Times New Roman" w:hAnsi="Times New Roman" w:cs="Times New Roman"/>
        </w:rPr>
        <w:t xml:space="preserve">have </w:t>
      </w:r>
      <w:r>
        <w:rPr>
          <w:rFonts w:hint="eastAsia" w:ascii="Times New Roman" w:hAnsi="Times New Roman" w:cs="Times New Roman"/>
        </w:rPr>
        <w:t>verified that early exposure to CT could predict STEM subject learning (Sun et al., 2022), executive functions (</w:t>
      </w:r>
      <w:r>
        <w:rPr>
          <w:rFonts w:ascii="Times New Roman" w:hAnsi="Times New Roman" w:cs="Times New Roman"/>
        </w:rPr>
        <w:t>Arf</w:t>
      </w:r>
      <w:r>
        <w:rPr>
          <w:rFonts w:hint="eastAsia" w:ascii="Times New Roman" w:hAnsi="Times New Roman" w:cs="Times New Roman"/>
        </w:rPr>
        <w:t xml:space="preserve">é et al., 2020; Di Lieto et al., 2017), 21st-century competencies (Bers et al., 2019; Lye &amp; Koh, 2014), and even future career paths (Bati, 2021). As early childhood is </w:t>
      </w:r>
      <w:r>
        <w:rPr>
          <w:rFonts w:ascii="Times New Roman" w:hAnsi="Times New Roman" w:cs="Times New Roman"/>
        </w:rPr>
        <w:t>a</w:t>
      </w:r>
      <w:r>
        <w:rPr>
          <w:rFonts w:hint="eastAsia" w:ascii="Times New Roman" w:hAnsi="Times New Roman" w:cs="Times New Roman"/>
        </w:rPr>
        <w:t xml:space="preserve"> critical stage for children</w:t>
      </w:r>
      <w:r>
        <w:rPr>
          <w:rFonts w:ascii="Times New Roman" w:hAnsi="Times New Roman" w:cs="Times New Roman"/>
        </w:rPr>
        <w:t>’</w:t>
      </w:r>
      <w:r>
        <w:rPr>
          <w:rFonts w:hint="eastAsia" w:ascii="Times New Roman" w:hAnsi="Times New Roman" w:cs="Times New Roman"/>
        </w:rPr>
        <w:t>s growth and learning (Piaget, 1953</w:t>
      </w:r>
      <w:r>
        <w:rPr>
          <w:rFonts w:ascii="Times New Roman" w:hAnsi="Times New Roman" w:cs="Times New Roman"/>
        </w:rPr>
        <w:t>,</w:t>
      </w:r>
      <w:r>
        <w:rPr>
          <w:rFonts w:hint="eastAsia" w:ascii="Times New Roman" w:hAnsi="Times New Roman" w:cs="Times New Roman"/>
        </w:rPr>
        <w:t xml:space="preserve"> 1971), it is essential to cultivate young children</w:t>
      </w:r>
      <w:r>
        <w:rPr>
          <w:rFonts w:ascii="Times New Roman" w:hAnsi="Times New Roman" w:cs="Times New Roman"/>
        </w:rPr>
        <w:t>’</w:t>
      </w:r>
      <w:r>
        <w:rPr>
          <w:rFonts w:hint="eastAsia" w:ascii="Times New Roman" w:hAnsi="Times New Roman" w:cs="Times New Roman"/>
        </w:rPr>
        <w:t>s CT.</w:t>
      </w:r>
      <w:r>
        <w:rPr>
          <w:rFonts w:ascii="Times New Roman" w:hAnsi="Times New Roman" w:cs="Times New Roman"/>
        </w:rPr>
        <w:t xml:space="preserve"> </w:t>
      </w:r>
    </w:p>
    <w:p w14:paraId="20552EC2">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 xml:space="preserve">Programming has been reckoned as the primary and most effective means to </w:t>
      </w:r>
      <w:r>
        <w:rPr>
          <w:rFonts w:hint="eastAsia" w:ascii="Times New Roman" w:hAnsi="Times New Roman" w:cs="Times New Roman"/>
        </w:rPr>
        <w:t>prom</w:t>
      </w:r>
      <w:r>
        <w:rPr>
          <w:rFonts w:ascii="Times New Roman" w:hAnsi="Times New Roman" w:cs="Times New Roman"/>
        </w:rPr>
        <w:t>ote learners’ CT (Bers, 2018; Macrides et al., 2022</w:t>
      </w:r>
      <w:r>
        <w:rPr>
          <w:rFonts w:hint="eastAsia" w:ascii="Times New Roman" w:hAnsi="Times New Roman" w:cs="Times New Roman"/>
        </w:rPr>
        <w:t xml:space="preserve">; </w:t>
      </w:r>
      <w:r>
        <w:rPr>
          <w:rFonts w:ascii="Times New Roman" w:hAnsi="Times New Roman" w:cs="Times New Roman"/>
        </w:rPr>
        <w:t>Relkin et al., 2021). Today, with the advancement of robotics technologies, educational robotics is increasingly applied to the educational field</w:t>
      </w:r>
      <w:r>
        <w:rPr>
          <w:rFonts w:hint="eastAsia" w:ascii="Times New Roman" w:hAnsi="Times New Roman" w:cs="Times New Roman"/>
        </w:rPr>
        <w:t xml:space="preserve"> </w:t>
      </w:r>
      <w:r>
        <w:rPr>
          <w:rFonts w:ascii="Times New Roman" w:hAnsi="Times New Roman" w:cs="Times New Roman"/>
        </w:rPr>
        <w:t>(</w:t>
      </w:r>
      <w:r>
        <w:rPr>
          <w:rFonts w:hint="eastAsia" w:ascii="Times New Roman" w:hAnsi="Times New Roman" w:cs="Times New Roman"/>
          <w:lang w:val="en-US" w:eastAsia="zh-CN"/>
        </w:rPr>
        <w:t>Zhang et al</w:t>
      </w:r>
      <w:r>
        <w:rPr>
          <w:rFonts w:ascii="Times New Roman" w:hAnsi="Times New Roman" w:cs="Times New Roman"/>
        </w:rPr>
        <w:t>,</w:t>
      </w:r>
      <w:r>
        <w:rPr>
          <w:rFonts w:hint="eastAsia" w:ascii="Times New Roman" w:hAnsi="Times New Roman" w:cs="Times New Roman"/>
          <w:lang w:val="en-US" w:eastAsia="zh-CN"/>
        </w:rPr>
        <w:t xml:space="preserve"> </w:t>
      </w:r>
      <w:r>
        <w:rPr>
          <w:rFonts w:ascii="Times New Roman" w:hAnsi="Times New Roman" w:cs="Times New Roman"/>
        </w:rPr>
        <w:t>2023</w:t>
      </w:r>
      <w:r>
        <w:rPr>
          <w:rFonts w:hint="eastAsia" w:ascii="Times New Roman" w:hAnsi="Times New Roman" w:cs="Times New Roman"/>
        </w:rPr>
        <w:t>a</w:t>
      </w:r>
      <w:r>
        <w:rPr>
          <w:rFonts w:ascii="Times New Roman" w:hAnsi="Times New Roman" w:cs="Times New Roman"/>
        </w:rPr>
        <w:t>,</w:t>
      </w:r>
      <w:r>
        <w:rPr>
          <w:rFonts w:hint="eastAsia" w:ascii="Times New Roman" w:hAnsi="Times New Roman" w:cs="Times New Roman"/>
        </w:rPr>
        <w:t>b</w:t>
      </w:r>
      <w:r>
        <w:rPr>
          <w:rFonts w:ascii="Times New Roman" w:hAnsi="Times New Roman" w:cs="Times New Roman"/>
        </w:rPr>
        <w:t xml:space="preserve">). </w:t>
      </w:r>
      <w:r>
        <w:rPr>
          <w:rFonts w:hint="eastAsia" w:ascii="Times New Roman" w:hAnsi="Times New Roman" w:cs="Times New Roman"/>
        </w:rPr>
        <w:t>Programmable robotics,</w:t>
      </w:r>
      <w:r>
        <w:rPr>
          <w:rFonts w:ascii="Times New Roman" w:hAnsi="Times New Roman" w:cs="Times New Roman"/>
        </w:rPr>
        <w:t xml:space="preserve"> a screen-free and developmental-appropriate means, provides early-year children with great opportunities to access programming and CT (Bakala et al., 2021</w:t>
      </w:r>
      <w:r>
        <w:rPr>
          <w:rFonts w:hint="eastAsia" w:ascii="Times New Roman" w:hAnsi="Times New Roman" w:cs="Times New Roman"/>
        </w:rPr>
        <w:t xml:space="preserve">; </w:t>
      </w:r>
      <w:r>
        <w:rPr>
          <w:rFonts w:ascii="Times New Roman" w:hAnsi="Times New Roman" w:cs="Times New Roman"/>
        </w:rPr>
        <w:t>Critten et al., 2021;</w:t>
      </w:r>
      <w:r>
        <w:rPr>
          <w:rFonts w:hint="eastAsia" w:ascii="Times New Roman" w:hAnsi="Times New Roman" w:cs="Times New Roman"/>
        </w:rPr>
        <w:t xml:space="preserve"> </w:t>
      </w:r>
      <w:r>
        <w:rPr>
          <w:rFonts w:ascii="Times New Roman" w:hAnsi="Times New Roman" w:cs="Times New Roman"/>
        </w:rPr>
        <w:t xml:space="preserve">Relkin et al., 2021). In recent years, researchers have used </w:t>
      </w:r>
      <w:r>
        <w:rPr>
          <w:rFonts w:hint="eastAsia" w:ascii="Times New Roman" w:hAnsi="Times New Roman" w:cs="Times New Roman"/>
        </w:rPr>
        <w:t>programmable robotics</w:t>
      </w:r>
      <w:r>
        <w:rPr>
          <w:rFonts w:ascii="Times New Roman" w:hAnsi="Times New Roman" w:cs="Times New Roman"/>
        </w:rPr>
        <w:t xml:space="preserve"> to teach children programming, and have </w:t>
      </w:r>
      <w:r>
        <w:rPr>
          <w:rFonts w:hint="eastAsia" w:ascii="Times New Roman" w:hAnsi="Times New Roman" w:cs="Times New Roman"/>
        </w:rPr>
        <w:t>v</w:t>
      </w:r>
      <w:r>
        <w:rPr>
          <w:rFonts w:ascii="Times New Roman" w:hAnsi="Times New Roman" w:cs="Times New Roman"/>
        </w:rPr>
        <w:t xml:space="preserve">alidated its effectiveness in terms of developing children’s CT (Bers et al., 2014; Critten et al., 2021; Yang et al., 2022). Bers et al. (2019) indicated that 3-year-old children could acquire basic CT through learning robot programming. </w:t>
      </w:r>
    </w:p>
    <w:p w14:paraId="6EE74BEB">
      <w:pPr>
        <w:pStyle w:val="20"/>
        <w:adjustRightInd w:val="0"/>
        <w:snapToGrid w:val="0"/>
        <w:spacing w:line="360" w:lineRule="auto"/>
        <w:ind w:left="0" w:leftChars="0" w:firstLine="480" w:firstLineChars="200"/>
        <w:jc w:val="both"/>
        <w:rPr>
          <w:rFonts w:ascii="Times New Roman" w:hAnsi="Times New Roman" w:cs="Times New Roman"/>
          <w:lang w:eastAsia="zh-CN"/>
        </w:rPr>
      </w:pPr>
      <w:r>
        <w:rPr>
          <w:rFonts w:hint="eastAsia" w:ascii="Times New Roman" w:hAnsi="Times New Roman" w:cs="Times New Roman"/>
          <w:color w:val="C00000"/>
          <w:lang w:eastAsia="zh-CN"/>
        </w:rPr>
        <w:t>In early childhood education, conventional robot programming teaching commonly adopts the narration-based approach</w:t>
      </w:r>
      <w:r>
        <w:rPr>
          <w:rFonts w:ascii="Times New Roman" w:hAnsi="Times New Roman" w:cs="Times New Roman"/>
          <w:color w:val="C00000"/>
          <w:lang w:eastAsia="zh-CN"/>
        </w:rPr>
        <w:t>, in which</w:t>
      </w:r>
      <w:r>
        <w:rPr>
          <w:rFonts w:hint="eastAsia" w:ascii="Times New Roman" w:hAnsi="Times New Roman" w:cs="Times New Roman"/>
          <w:color w:val="C00000"/>
          <w:lang w:eastAsia="zh-CN"/>
        </w:rPr>
        <w:t xml:space="preserve"> teachers introduce the CT concepts and the usage of programming instructions by narration</w:t>
      </w:r>
      <w:r>
        <w:rPr>
          <w:rFonts w:ascii="Times New Roman" w:hAnsi="Times New Roman" w:cs="Times New Roman"/>
          <w:color w:val="C00000"/>
          <w:lang w:eastAsia="zh-CN"/>
        </w:rPr>
        <w:t>,</w:t>
      </w:r>
      <w:r>
        <w:rPr>
          <w:rFonts w:hint="eastAsia" w:ascii="Times New Roman" w:hAnsi="Times New Roman" w:cs="Times New Roman"/>
          <w:color w:val="C00000"/>
          <w:lang w:eastAsia="zh-CN"/>
        </w:rPr>
        <w:t xml:space="preserve"> and then assign corresponding tasks to invite children to create program</w:t>
      </w:r>
      <w:r>
        <w:rPr>
          <w:rFonts w:ascii="Times New Roman" w:hAnsi="Times New Roman" w:cs="Times New Roman"/>
          <w:color w:val="C00000"/>
          <w:lang w:eastAsia="zh-CN"/>
        </w:rPr>
        <w:t>s</w:t>
      </w:r>
      <w:r>
        <w:rPr>
          <w:rFonts w:hint="eastAsia" w:ascii="Times New Roman" w:hAnsi="Times New Roman" w:cs="Times New Roman"/>
          <w:color w:val="C00000"/>
          <w:lang w:eastAsia="zh-CN"/>
        </w:rPr>
        <w:t xml:space="preserve"> and drive robots to achieve a goal (Bakala et al., 2021; Fu et al., 2023; Macrides et al., 2022; Relkin et al., 2021). </w:t>
      </w:r>
      <w:r>
        <w:rPr>
          <w:rFonts w:hint="eastAsia" w:ascii="Times New Roman" w:hAnsi="Times New Roman" w:cs="Times New Roman"/>
          <w:color w:val="C00000"/>
        </w:rPr>
        <w:t>T</w:t>
      </w:r>
      <w:r>
        <w:rPr>
          <w:rFonts w:ascii="Times New Roman" w:hAnsi="Times New Roman" w:cs="Times New Roman"/>
          <w:color w:val="C00000"/>
        </w:rPr>
        <w:t>hat is, teachers mainly</w:t>
      </w:r>
      <w:r>
        <w:rPr>
          <w:rFonts w:hint="eastAsia" w:ascii="Times New Roman" w:hAnsi="Times New Roman" w:cs="Times New Roman"/>
          <w:color w:val="C00000"/>
          <w:lang w:eastAsia="zh-CN"/>
        </w:rPr>
        <w:t xml:space="preserve"> focus on introducing abstract CT concepts and the programming instructions</w:t>
      </w:r>
      <w:r>
        <w:rPr>
          <w:rFonts w:hint="eastAsia" w:ascii="Times New Roman" w:hAnsi="Times New Roman" w:cs="Times New Roman"/>
          <w:color w:val="C00000"/>
        </w:rPr>
        <w:t>,</w:t>
      </w:r>
      <w:r>
        <w:rPr>
          <w:rFonts w:hint="eastAsia" w:ascii="Times New Roman" w:hAnsi="Times New Roman" w:cs="Times New Roman"/>
          <w:color w:val="C00000"/>
          <w:lang w:eastAsia="zh-CN"/>
        </w:rPr>
        <w:t xml:space="preserve"> and then encourag</w:t>
      </w:r>
      <w:r>
        <w:rPr>
          <w:rFonts w:ascii="Times New Roman" w:hAnsi="Times New Roman" w:cs="Times New Roman"/>
          <w:color w:val="C00000"/>
          <w:lang w:eastAsia="zh-CN"/>
        </w:rPr>
        <w:t>e</w:t>
      </w:r>
      <w:r>
        <w:rPr>
          <w:rFonts w:hint="eastAsia" w:ascii="Times New Roman" w:hAnsi="Times New Roman" w:cs="Times New Roman"/>
          <w:color w:val="C00000"/>
          <w:lang w:eastAsia="zh-CN"/>
        </w:rPr>
        <w:t xml:space="preserve"> children to write their programs </w:t>
      </w:r>
      <w:r>
        <w:rPr>
          <w:rFonts w:hint="eastAsia" w:ascii="Times New Roman" w:hAnsi="Times New Roman" w:cs="Times New Roman"/>
          <w:color w:val="C00000"/>
        </w:rPr>
        <w:t>w</w:t>
      </w:r>
      <w:r>
        <w:rPr>
          <w:rFonts w:ascii="Times New Roman" w:hAnsi="Times New Roman" w:cs="Times New Roman"/>
          <w:color w:val="C00000"/>
        </w:rPr>
        <w:t>ithout providing</w:t>
      </w:r>
      <w:r>
        <w:rPr>
          <w:rFonts w:hint="eastAsia" w:ascii="Times New Roman" w:hAnsi="Times New Roman" w:cs="Times New Roman"/>
          <w:color w:val="C00000"/>
          <w:lang w:eastAsia="zh-CN"/>
        </w:rPr>
        <w:t xml:space="preserve"> </w:t>
      </w:r>
      <w:r>
        <w:rPr>
          <w:rFonts w:ascii="Times New Roman" w:hAnsi="Times New Roman" w:cs="Times New Roman"/>
          <w:color w:val="C00000"/>
          <w:lang w:eastAsia="zh-CN"/>
        </w:rPr>
        <w:t xml:space="preserve">guiding strategies to help them </w:t>
      </w:r>
      <w:r>
        <w:rPr>
          <w:rFonts w:hint="eastAsia" w:ascii="Times New Roman" w:hAnsi="Times New Roman" w:cs="Times New Roman"/>
          <w:color w:val="C00000"/>
          <w:lang w:eastAsia="zh-CN"/>
        </w:rPr>
        <w:t>combin</w:t>
      </w:r>
      <w:r>
        <w:rPr>
          <w:rFonts w:ascii="Times New Roman" w:hAnsi="Times New Roman" w:cs="Times New Roman"/>
          <w:color w:val="C00000"/>
          <w:lang w:eastAsia="zh-CN"/>
        </w:rPr>
        <w:t>e</w:t>
      </w:r>
      <w:r>
        <w:rPr>
          <w:rFonts w:hint="eastAsia" w:ascii="Times New Roman" w:hAnsi="Times New Roman" w:cs="Times New Roman"/>
          <w:color w:val="C00000"/>
          <w:lang w:eastAsia="zh-CN"/>
        </w:rPr>
        <w:t xml:space="preserve"> </w:t>
      </w:r>
      <w:r>
        <w:rPr>
          <w:rFonts w:ascii="Times New Roman" w:hAnsi="Times New Roman" w:cs="Times New Roman"/>
          <w:color w:val="C00000"/>
          <w:lang w:eastAsia="zh-CN"/>
        </w:rPr>
        <w:t>the</w:t>
      </w:r>
      <w:r>
        <w:rPr>
          <w:rFonts w:hint="eastAsia" w:ascii="Times New Roman" w:hAnsi="Times New Roman" w:cs="Times New Roman"/>
          <w:color w:val="C00000"/>
          <w:lang w:eastAsia="zh-CN"/>
        </w:rPr>
        <w:t xml:space="preserve"> abstract CT concepts with concrete concepts that </w:t>
      </w:r>
      <w:r>
        <w:rPr>
          <w:rFonts w:ascii="Times New Roman" w:hAnsi="Times New Roman" w:cs="Times New Roman"/>
          <w:color w:val="C00000"/>
          <w:lang w:eastAsia="zh-CN"/>
        </w:rPr>
        <w:t>they</w:t>
      </w:r>
      <w:r>
        <w:rPr>
          <w:rFonts w:hint="eastAsia" w:ascii="Times New Roman" w:hAnsi="Times New Roman" w:cs="Times New Roman"/>
          <w:color w:val="C00000"/>
          <w:lang w:eastAsia="zh-CN"/>
        </w:rPr>
        <w:t xml:space="preserve"> are</w:t>
      </w:r>
      <w:r>
        <w:rPr>
          <w:rFonts w:ascii="Times New Roman" w:hAnsi="Times New Roman" w:cs="Times New Roman"/>
          <w:color w:val="C00000"/>
          <w:lang w:eastAsia="zh-CN"/>
        </w:rPr>
        <w:t xml:space="preserve"> already</w:t>
      </w:r>
      <w:r>
        <w:rPr>
          <w:rFonts w:hint="eastAsia" w:ascii="Times New Roman" w:hAnsi="Times New Roman" w:cs="Times New Roman"/>
          <w:color w:val="C00000"/>
          <w:lang w:eastAsia="zh-CN"/>
        </w:rPr>
        <w:t xml:space="preserve"> familiar with</w:t>
      </w:r>
      <w:r>
        <w:rPr>
          <w:rFonts w:ascii="Times New Roman" w:hAnsi="Times New Roman" w:cs="Times New Roman"/>
          <w:color w:val="C00000"/>
          <w:lang w:eastAsia="zh-CN"/>
        </w:rPr>
        <w:t xml:space="preserve"> (</w:t>
      </w:r>
      <w:r>
        <w:rPr>
          <w:rFonts w:hint="eastAsia" w:ascii="Times New Roman" w:hAnsi="Times New Roman" w:cs="Times New Roman"/>
          <w:color w:val="C00000"/>
          <w:lang w:eastAsia="zh-CN"/>
        </w:rPr>
        <w:t>Bakala et al., 2021</w:t>
      </w:r>
      <w:r>
        <w:rPr>
          <w:rFonts w:ascii="Times New Roman" w:hAnsi="Times New Roman" w:cs="Times New Roman"/>
          <w:color w:val="C00000"/>
          <w:lang w:eastAsia="zh-CN"/>
        </w:rPr>
        <w:t>)</w:t>
      </w:r>
      <w:r>
        <w:rPr>
          <w:rFonts w:hint="eastAsia" w:ascii="Times New Roman" w:hAnsi="Times New Roman" w:cs="Times New Roman"/>
          <w:color w:val="C00000"/>
          <w:lang w:eastAsia="zh-CN"/>
        </w:rPr>
        <w:t>.</w:t>
      </w:r>
      <w:r>
        <w:rPr>
          <w:rFonts w:ascii="Times New Roman" w:hAnsi="Times New Roman" w:cs="Times New Roman"/>
          <w:color w:val="C00000"/>
          <w:lang w:eastAsia="zh-CN"/>
        </w:rPr>
        <w:t xml:space="preserve"> </w:t>
      </w:r>
      <w:r>
        <w:rPr>
          <w:rFonts w:ascii="Times New Roman" w:hAnsi="Times New Roman" w:cs="Times New Roman"/>
          <w:color w:val="C00000"/>
        </w:rPr>
        <w:t xml:space="preserve">As a consequence, </w:t>
      </w:r>
      <w:r>
        <w:rPr>
          <w:rFonts w:hint="eastAsia" w:ascii="Times New Roman" w:hAnsi="Times New Roman" w:cs="Times New Roman"/>
          <w:color w:val="C00000"/>
        </w:rPr>
        <w:t>r</w:t>
      </w:r>
      <w:r>
        <w:rPr>
          <w:rFonts w:ascii="Times New Roman" w:hAnsi="Times New Roman" w:cs="Times New Roman"/>
          <w:color w:val="C00000"/>
        </w:rPr>
        <w:t>esearchers have found that young children</w:t>
      </w:r>
      <w:r>
        <w:rPr>
          <w:rFonts w:hint="eastAsia" w:ascii="Times New Roman" w:hAnsi="Times New Roman" w:cs="Times New Roman"/>
          <w:color w:val="C00000"/>
          <w:lang w:eastAsia="zh-CN"/>
        </w:rPr>
        <w:t xml:space="preserve"> </w:t>
      </w:r>
      <w:r>
        <w:rPr>
          <w:rFonts w:ascii="Times New Roman" w:hAnsi="Times New Roman" w:cs="Times New Roman"/>
          <w:color w:val="C00000"/>
          <w:lang w:eastAsia="zh-CN"/>
        </w:rPr>
        <w:t>generally</w:t>
      </w:r>
      <w:r>
        <w:rPr>
          <w:rFonts w:ascii="Times New Roman" w:hAnsi="Times New Roman" w:cs="Times New Roman"/>
          <w:color w:val="C00000"/>
        </w:rPr>
        <w:t xml:space="preserve"> </w:t>
      </w:r>
      <w:r>
        <w:rPr>
          <w:rFonts w:hint="eastAsia" w:ascii="Times New Roman" w:hAnsi="Times New Roman" w:cs="Times New Roman"/>
          <w:color w:val="C00000"/>
        </w:rPr>
        <w:t>have</w:t>
      </w:r>
      <w:r>
        <w:rPr>
          <w:rFonts w:ascii="Times New Roman" w:hAnsi="Times New Roman" w:cs="Times New Roman"/>
          <w:color w:val="C00000"/>
        </w:rPr>
        <w:t xml:space="preserve"> challenges in grasping some abstract CT concepts such as algorithm</w:t>
      </w:r>
      <w:r>
        <w:rPr>
          <w:rFonts w:hint="eastAsia" w:ascii="Times New Roman" w:hAnsi="Times New Roman" w:cs="Times New Roman"/>
          <w:color w:val="C00000"/>
          <w:lang w:eastAsia="zh-CN"/>
        </w:rPr>
        <w:t>/sequence</w:t>
      </w:r>
      <w:r>
        <w:rPr>
          <w:rFonts w:ascii="Times New Roman" w:hAnsi="Times New Roman" w:cs="Times New Roman"/>
          <w:color w:val="C00000"/>
        </w:rPr>
        <w:t xml:space="preserve">, </w:t>
      </w:r>
      <w:r>
        <w:rPr>
          <w:rFonts w:hint="eastAsia" w:ascii="Times New Roman" w:hAnsi="Times New Roman" w:cs="Times New Roman"/>
          <w:color w:val="C00000"/>
          <w:lang w:eastAsia="zh-CN"/>
        </w:rPr>
        <w:t xml:space="preserve">representation, </w:t>
      </w:r>
      <w:r>
        <w:rPr>
          <w:rFonts w:ascii="Times New Roman" w:hAnsi="Times New Roman" w:cs="Times New Roman"/>
          <w:color w:val="C00000"/>
        </w:rPr>
        <w:t xml:space="preserve">loops, and debugging, during the programming learning process (Bers et al., 2014; Critten et al., 2021; </w:t>
      </w:r>
      <w:r>
        <w:rPr>
          <w:rFonts w:hint="eastAsia" w:ascii="Times New Roman" w:hAnsi="Times New Roman" w:cs="Times New Roman"/>
          <w:color w:val="C00000"/>
          <w:lang w:val="en-US" w:eastAsia="zh-CN"/>
        </w:rPr>
        <w:t xml:space="preserve">Hwang et al., 2022; </w:t>
      </w:r>
      <w:r>
        <w:rPr>
          <w:rFonts w:ascii="Times New Roman" w:hAnsi="Times New Roman" w:cs="Times New Roman"/>
          <w:color w:val="C00000"/>
        </w:rPr>
        <w:t>Kwon et al., 2022</w:t>
      </w:r>
      <w:r>
        <w:rPr>
          <w:rFonts w:hint="eastAsia" w:ascii="Times New Roman" w:hAnsi="Times New Roman" w:cs="Times New Roman"/>
          <w:color w:val="C00000"/>
        </w:rPr>
        <w:t>; Relkin</w:t>
      </w:r>
      <w:r>
        <w:rPr>
          <w:rFonts w:ascii="Times New Roman" w:hAnsi="Times New Roman" w:cs="Times New Roman"/>
          <w:color w:val="C00000"/>
        </w:rPr>
        <w:t xml:space="preserve"> et al., 2021; Rijke et al., 2018)</w:t>
      </w:r>
      <w:r>
        <w:rPr>
          <w:rFonts w:hint="eastAsia" w:ascii="Times New Roman" w:hAnsi="Times New Roman" w:cs="Times New Roman"/>
          <w:color w:val="C00000"/>
          <w:lang w:eastAsia="zh-CN"/>
        </w:rPr>
        <w:t xml:space="preserve">. </w:t>
      </w:r>
      <w:r>
        <w:rPr>
          <w:rFonts w:ascii="Times New Roman" w:hAnsi="Times New Roman" w:cs="Times New Roman"/>
        </w:rPr>
        <w:t>As Piaget (1971) implied, the conceptual constructions of children at ages 2-7 rely on more concrete and familiar experiences. Learning Transfer of Constructivism also requires learning transfer by connecting existing learning experiences and knowledge with target abstract concepts (Duffy &amp; Jonassen, 1991; Prenzel &amp; Mandl, 1993).</w:t>
      </w:r>
      <w:r>
        <w:rPr>
          <w:rFonts w:hint="eastAsia" w:ascii="Times New Roman" w:hAnsi="Times New Roman" w:cs="Times New Roman"/>
          <w:lang w:eastAsia="zh-CN"/>
        </w:rPr>
        <w:t xml:space="preserve"> </w:t>
      </w:r>
      <w:r>
        <w:rPr>
          <w:rFonts w:hint="eastAsia" w:ascii="Times New Roman" w:hAnsi="Times New Roman" w:cs="Times New Roman"/>
          <w:color w:val="C00000"/>
          <w:lang w:eastAsia="zh-CN"/>
        </w:rPr>
        <w:t xml:space="preserve">The problem mentioned above </w:t>
      </w:r>
      <w:r>
        <w:rPr>
          <w:rFonts w:ascii="Times New Roman" w:hAnsi="Times New Roman" w:cs="Times New Roman"/>
          <w:color w:val="C00000"/>
          <w:lang w:eastAsia="zh-CN"/>
        </w:rPr>
        <w:t>could</w:t>
      </w:r>
      <w:r>
        <w:rPr>
          <w:rFonts w:hint="eastAsia" w:ascii="Times New Roman" w:hAnsi="Times New Roman" w:cs="Times New Roman"/>
          <w:color w:val="C00000"/>
          <w:lang w:eastAsia="zh-CN"/>
        </w:rPr>
        <w:t xml:space="preserve"> result from a lack of appropriate approaches to teaching young children robot programming (</w:t>
      </w:r>
      <w:r>
        <w:rPr>
          <w:rFonts w:ascii="Times New Roman" w:hAnsi="Times New Roman" w:cs="Times New Roman"/>
          <w:color w:val="C00000"/>
          <w:lang w:eastAsia="zh-CN"/>
        </w:rPr>
        <w:t>P</w:t>
      </w:r>
      <w:r>
        <w:rPr>
          <w:rFonts w:hint="eastAsia" w:ascii="Times New Roman" w:hAnsi="Times New Roman" w:cs="Times New Roman"/>
          <w:color w:val="C00000"/>
          <w:lang w:eastAsia="zh-CN"/>
        </w:rPr>
        <w:t>é</w:t>
      </w:r>
      <w:r>
        <w:rPr>
          <w:rFonts w:ascii="Times New Roman" w:hAnsi="Times New Roman" w:cs="Times New Roman"/>
          <w:color w:val="C00000"/>
          <w:lang w:eastAsia="zh-CN"/>
        </w:rPr>
        <w:t>rez-Mar</w:t>
      </w:r>
      <w:r>
        <w:rPr>
          <w:rFonts w:hint="eastAsia" w:ascii="Times New Roman" w:hAnsi="Times New Roman" w:cs="Times New Roman"/>
          <w:color w:val="C00000"/>
          <w:lang w:eastAsia="zh-CN"/>
        </w:rPr>
        <w:t>í</w:t>
      </w:r>
      <w:r>
        <w:rPr>
          <w:rFonts w:ascii="Times New Roman" w:hAnsi="Times New Roman" w:cs="Times New Roman"/>
          <w:color w:val="C00000"/>
          <w:lang w:eastAsia="zh-CN"/>
        </w:rPr>
        <w:t>n</w:t>
      </w:r>
      <w:r>
        <w:rPr>
          <w:rFonts w:hint="eastAsia" w:ascii="Times New Roman" w:hAnsi="Times New Roman" w:cs="Times New Roman"/>
          <w:color w:val="C00000"/>
          <w:lang w:eastAsia="zh-CN"/>
        </w:rPr>
        <w:t xml:space="preserve"> et al., 2018; 2020)</w:t>
      </w:r>
      <w:r>
        <w:rPr>
          <w:rFonts w:hint="eastAsia" w:ascii="Times New Roman" w:hAnsi="Times New Roman" w:cs="Times New Roman"/>
          <w:color w:val="C00000"/>
        </w:rPr>
        <w:t>.</w:t>
      </w:r>
      <w:r>
        <w:rPr>
          <w:rFonts w:hint="eastAsia" w:ascii="Times New Roman" w:hAnsi="Times New Roman" w:cs="Times New Roman"/>
          <w:color w:val="C00000"/>
          <w:lang w:eastAsia="zh-CN"/>
        </w:rPr>
        <w:t xml:space="preserve"> </w:t>
      </w:r>
      <w:r>
        <w:rPr>
          <w:rFonts w:ascii="Times New Roman" w:hAnsi="Times New Roman" w:cs="Times New Roman"/>
          <w:color w:val="C00000"/>
          <w:lang w:eastAsia="zh-CN"/>
        </w:rPr>
        <w:t>Scholars have</w:t>
      </w:r>
      <w:r>
        <w:rPr>
          <w:rFonts w:hint="eastAsia" w:ascii="Times New Roman" w:hAnsi="Times New Roman" w:cs="Times New Roman"/>
          <w:color w:val="C00000"/>
          <w:lang w:eastAsia="zh-CN"/>
        </w:rPr>
        <w:t xml:space="preserve"> indicated that</w:t>
      </w:r>
      <w:r>
        <w:rPr>
          <w:rFonts w:hint="eastAsia" w:ascii="Times New Roman" w:hAnsi="Times New Roman" w:cs="Times New Roman"/>
          <w:color w:val="C00000"/>
        </w:rPr>
        <w:t xml:space="preserve"> </w:t>
      </w:r>
      <w:r>
        <w:rPr>
          <w:rFonts w:ascii="Times New Roman" w:hAnsi="Times New Roman" w:cs="Times New Roman"/>
          <w:color w:val="C00000"/>
        </w:rPr>
        <w:t>a</w:t>
      </w:r>
      <w:r>
        <w:rPr>
          <w:rFonts w:hint="eastAsia" w:ascii="Times New Roman" w:hAnsi="Times New Roman" w:cs="Times New Roman"/>
          <w:color w:val="C00000"/>
        </w:rPr>
        <w:t>ppropriate pedagogy plays a significant role in developing children</w:t>
      </w:r>
      <w:r>
        <w:rPr>
          <w:rFonts w:ascii="Times New Roman" w:hAnsi="Times New Roman" w:cs="Times New Roman"/>
          <w:color w:val="C00000"/>
        </w:rPr>
        <w:t>’</w:t>
      </w:r>
      <w:r>
        <w:rPr>
          <w:rFonts w:hint="eastAsia" w:ascii="Times New Roman" w:hAnsi="Times New Roman" w:cs="Times New Roman"/>
          <w:color w:val="C00000"/>
        </w:rPr>
        <w:t xml:space="preserve">s CT (Angeli &amp; Giannakos, 2020; Bers, 2019). </w:t>
      </w:r>
      <w:r>
        <w:rPr>
          <w:rFonts w:hint="eastAsia" w:ascii="Times New Roman" w:hAnsi="Times New Roman" w:cs="Times New Roman"/>
          <w:color w:val="C00000"/>
          <w:lang w:eastAsia="zh-CN"/>
        </w:rPr>
        <w:t>As r</w:t>
      </w:r>
      <w:r>
        <w:rPr>
          <w:rFonts w:hint="eastAsia" w:ascii="Times New Roman" w:hAnsi="Times New Roman" w:cs="Times New Roman"/>
          <w:color w:val="C00000"/>
        </w:rPr>
        <w:t xml:space="preserve">esearch </w:t>
      </w:r>
      <w:r>
        <w:rPr>
          <w:rFonts w:hint="eastAsia" w:ascii="Times New Roman" w:hAnsi="Times New Roman" w:cs="Times New Roman"/>
          <w:color w:val="C00000"/>
          <w:lang w:eastAsia="zh-CN"/>
        </w:rPr>
        <w:t>on</w:t>
      </w:r>
      <w:r>
        <w:rPr>
          <w:rFonts w:hint="eastAsia" w:ascii="Times New Roman" w:hAnsi="Times New Roman" w:cs="Times New Roman"/>
          <w:color w:val="C00000"/>
        </w:rPr>
        <w:t xml:space="preserve"> robot programming and CT in early childhood education is still in its infancy</w:t>
      </w:r>
      <w:r>
        <w:rPr>
          <w:rFonts w:hint="eastAsia" w:ascii="Times New Roman" w:hAnsi="Times New Roman" w:cs="Times New Roman"/>
          <w:color w:val="C00000"/>
          <w:lang w:eastAsia="zh-CN"/>
        </w:rPr>
        <w:t xml:space="preserve"> (Relkin et al., 2021), </w:t>
      </w:r>
      <w:r>
        <w:rPr>
          <w:rFonts w:ascii="Times New Roman" w:hAnsi="Times New Roman" w:cs="Times New Roman"/>
          <w:color w:val="C00000"/>
        </w:rPr>
        <w:t>it remains an open issue to develop an age-appropriate approach to teach young children robot programming and develop their CT</w:t>
      </w:r>
      <w:r>
        <w:rPr>
          <w:rFonts w:hint="eastAsia" w:ascii="Times New Roman" w:hAnsi="Times New Roman" w:cs="Times New Roman"/>
          <w:color w:val="C00000"/>
          <w:lang w:eastAsia="zh-CN"/>
        </w:rPr>
        <w:t>.</w:t>
      </w:r>
    </w:p>
    <w:p w14:paraId="0B83FD03">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The conceptual metaphor theory (CMT) indicates that metaphors allow individuals to make connections between relatively abstract areas of experience with simpler or clearer experiences we are familiar with (Lakoff &amp; Johnson</w:t>
      </w:r>
      <w:r>
        <w:rPr>
          <w:rFonts w:hint="eastAsia" w:ascii="Times New Roman" w:hAnsi="Times New Roman" w:cs="Times New Roman"/>
        </w:rPr>
        <w:t>,</w:t>
      </w:r>
      <w:r>
        <w:rPr>
          <w:rFonts w:ascii="Times New Roman" w:hAnsi="Times New Roman" w:cs="Times New Roman"/>
        </w:rPr>
        <w:t xml:space="preserve"> 1980; Lakoff, 1993). Indeed, it is a process of building linkages between the concrete and the abstract ideas (Saban, 2006). In educational fields, metaphors can be a</w:t>
      </w:r>
      <w:r>
        <w:rPr>
          <w:rFonts w:hint="eastAsia" w:ascii="Times New Roman" w:hAnsi="Times New Roman" w:cs="Times New Roman"/>
        </w:rPr>
        <w:t>n</w:t>
      </w:r>
      <w:r>
        <w:rPr>
          <w:rFonts w:ascii="Times New Roman" w:hAnsi="Times New Roman" w:cs="Times New Roman"/>
        </w:rPr>
        <w:t xml:space="preserve"> </w:t>
      </w:r>
      <w:r>
        <w:rPr>
          <w:rFonts w:hint="eastAsia" w:ascii="Times New Roman" w:hAnsi="Times New Roman" w:cs="Times New Roman"/>
        </w:rPr>
        <w:t>effective</w:t>
      </w:r>
      <w:r>
        <w:rPr>
          <w:rFonts w:ascii="Times New Roman" w:hAnsi="Times New Roman" w:cs="Times New Roman"/>
        </w:rPr>
        <w:t xml:space="preserve"> tool to enable teachers to use more concrete and familiar concepts related to learners’ experiences to interpret abstract concepts, so as to help them develop a more concrete and straightforward understanding of the targeted concepts (Pérez-Marín et al., 2020</w:t>
      </w:r>
      <w:r>
        <w:rPr>
          <w:rFonts w:hint="eastAsia" w:ascii="Times New Roman" w:hAnsi="Times New Roman" w:cs="Times New Roman"/>
        </w:rPr>
        <w:t xml:space="preserve">; </w:t>
      </w:r>
      <w:r>
        <w:rPr>
          <w:rFonts w:ascii="Times New Roman" w:hAnsi="Times New Roman" w:cs="Times New Roman"/>
        </w:rPr>
        <w:t xml:space="preserve">Saban, 2006; Yee, 2017). Previous works have validated the effectiveness of the use of metaphors in teaching language, mathematics, </w:t>
      </w:r>
      <w:r>
        <w:rPr>
          <w:rFonts w:hint="eastAsia" w:ascii="Times New Roman" w:hAnsi="Times New Roman" w:cs="Times New Roman"/>
        </w:rPr>
        <w:t xml:space="preserve">and </w:t>
      </w:r>
      <w:r>
        <w:rPr>
          <w:rFonts w:ascii="Times New Roman" w:hAnsi="Times New Roman" w:cs="Times New Roman"/>
        </w:rPr>
        <w:t>biology (Bas &amp; Gezegin, 2017; Reinhardt, 2020</w:t>
      </w:r>
      <w:r>
        <w:rPr>
          <w:rFonts w:hint="eastAsia" w:ascii="Times New Roman" w:hAnsi="Times New Roman" w:cs="Times New Roman"/>
        </w:rPr>
        <w:t xml:space="preserve">; </w:t>
      </w:r>
      <w:r>
        <w:rPr>
          <w:rFonts w:ascii="Times New Roman" w:hAnsi="Times New Roman" w:cs="Times New Roman"/>
        </w:rPr>
        <w:t xml:space="preserve">Thomas &amp; McRobbie, 2001; Yee, 2017). In addition, researchers </w:t>
      </w:r>
      <w:r>
        <w:rPr>
          <w:rFonts w:hint="eastAsia" w:ascii="Times New Roman" w:hAnsi="Times New Roman" w:cs="Times New Roman"/>
        </w:rPr>
        <w:t xml:space="preserve">have </w:t>
      </w:r>
      <w:r>
        <w:rPr>
          <w:rFonts w:ascii="Times New Roman" w:hAnsi="Times New Roman" w:cs="Times New Roman"/>
        </w:rPr>
        <w:t>applied metaphors in programming teaching for college students (Milner, 2010), upper</w:t>
      </w:r>
      <w:r>
        <w:rPr>
          <w:rFonts w:hint="eastAsia" w:ascii="Times New Roman" w:hAnsi="Times New Roman" w:cs="Times New Roman"/>
        </w:rPr>
        <w:t>-</w:t>
      </w:r>
      <w:r>
        <w:rPr>
          <w:rFonts w:ascii="Times New Roman" w:hAnsi="Times New Roman" w:cs="Times New Roman"/>
        </w:rPr>
        <w:t>secondary students (Larsson &amp; Stolpe, 2022), and primary</w:t>
      </w:r>
      <w:r>
        <w:rPr>
          <w:rFonts w:hint="eastAsia" w:ascii="Times New Roman" w:hAnsi="Times New Roman" w:cs="Times New Roman"/>
        </w:rPr>
        <w:t xml:space="preserve"> </w:t>
      </w:r>
      <w:r>
        <w:rPr>
          <w:rFonts w:ascii="Times New Roman" w:hAnsi="Times New Roman" w:cs="Times New Roman"/>
        </w:rPr>
        <w:t>students (Pérez-Marín et al., 2018). Pérez-Marín et al. (2020) further verified the effectiveness of using metaphors to teach Scratch programming for promoting four</w:t>
      </w:r>
      <w:r>
        <w:rPr>
          <w:rFonts w:hint="eastAsia" w:ascii="Times New Roman" w:hAnsi="Times New Roman" w:cs="Times New Roman"/>
        </w:rPr>
        <w:t>t</w:t>
      </w:r>
      <w:r>
        <w:rPr>
          <w:rFonts w:ascii="Times New Roman" w:hAnsi="Times New Roman" w:cs="Times New Roman"/>
        </w:rPr>
        <w:t>h to sixth grade primary school students’ CT. As we can see, the provision of metaphors in programming teaching showed great potential to develop learners’ CT. Some scholars (</w:t>
      </w:r>
      <w:r>
        <w:rPr>
          <w:rFonts w:hint="eastAsia" w:ascii="Times New Roman" w:hAnsi="Times New Roman" w:cs="Times New Roman"/>
        </w:rPr>
        <w:t>Angeli &amp; Giannakos,</w:t>
      </w:r>
      <w:r>
        <w:rPr>
          <w:rFonts w:ascii="Times New Roman" w:hAnsi="Times New Roman" w:cs="Times New Roman"/>
        </w:rPr>
        <w:t xml:space="preserve"> </w:t>
      </w:r>
      <w:r>
        <w:rPr>
          <w:rFonts w:hint="eastAsia" w:ascii="Times New Roman" w:hAnsi="Times New Roman" w:cs="Times New Roman"/>
        </w:rPr>
        <w:t>2020</w:t>
      </w:r>
      <w:r>
        <w:rPr>
          <w:rFonts w:ascii="Times New Roman" w:hAnsi="Times New Roman" w:cs="Times New Roman"/>
        </w:rPr>
        <w:t>;</w:t>
      </w:r>
      <w:r>
        <w:rPr>
          <w:rFonts w:hint="eastAsia" w:ascii="Times New Roman" w:hAnsi="Times New Roman" w:cs="Times New Roman"/>
        </w:rPr>
        <w:t xml:space="preserve"> Manches et al.</w:t>
      </w:r>
      <w:r>
        <w:rPr>
          <w:rFonts w:ascii="Times New Roman" w:hAnsi="Times New Roman" w:cs="Times New Roman"/>
        </w:rPr>
        <w:t xml:space="preserve">, </w:t>
      </w:r>
      <w:r>
        <w:rPr>
          <w:rFonts w:hint="eastAsia" w:ascii="Times New Roman" w:hAnsi="Times New Roman" w:cs="Times New Roman"/>
        </w:rPr>
        <w:t xml:space="preserve">2020; </w:t>
      </w:r>
      <w:r>
        <w:rPr>
          <w:rFonts w:ascii="Times New Roman" w:hAnsi="Times New Roman" w:cs="Times New Roman"/>
        </w:rPr>
        <w:t>Peelle, 1983</w:t>
      </w:r>
      <w:r>
        <w:rPr>
          <w:rFonts w:hint="eastAsia" w:ascii="Times New Roman" w:hAnsi="Times New Roman" w:cs="Times New Roman"/>
        </w:rPr>
        <w:t>) also pinpointed the significance of using learner-centered metaphors in programming teaching to develop children</w:t>
      </w:r>
      <w:r>
        <w:rPr>
          <w:rFonts w:ascii="Times New Roman" w:hAnsi="Times New Roman" w:cs="Times New Roman"/>
        </w:rPr>
        <w:t>’</w:t>
      </w:r>
      <w:r>
        <w:rPr>
          <w:rFonts w:hint="eastAsia" w:ascii="Times New Roman" w:hAnsi="Times New Roman" w:cs="Times New Roman"/>
        </w:rPr>
        <w:t xml:space="preserve">s CT. </w:t>
      </w:r>
      <w:r>
        <w:rPr>
          <w:rFonts w:ascii="Times New Roman" w:hAnsi="Times New Roman" w:cs="Times New Roman"/>
        </w:rPr>
        <w:t>Peelle (1983) mentioned that metaphors are particularly useful at an early stage of computer science learning: they make connections to concepts that are already well understood.</w:t>
      </w:r>
      <w:r>
        <w:rPr>
          <w:rFonts w:hint="eastAsia" w:ascii="Times New Roman" w:hAnsi="Times New Roman" w:cs="Times New Roman"/>
        </w:rPr>
        <w:t xml:space="preserve"> </w:t>
      </w:r>
      <w:r>
        <w:rPr>
          <w:rFonts w:ascii="Times New Roman" w:hAnsi="Times New Roman" w:cs="Times New Roman"/>
        </w:rPr>
        <w:t xml:space="preserve">However, the impact of metaphors in </w:t>
      </w:r>
      <w:r>
        <w:rPr>
          <w:rFonts w:hint="eastAsia" w:ascii="Times New Roman" w:hAnsi="Times New Roman" w:cs="Times New Roman"/>
          <w:lang w:eastAsia="zh-CN"/>
        </w:rPr>
        <w:t xml:space="preserve">robot </w:t>
      </w:r>
      <w:r>
        <w:rPr>
          <w:rFonts w:ascii="Times New Roman" w:hAnsi="Times New Roman" w:cs="Times New Roman"/>
        </w:rPr>
        <w:t xml:space="preserve">programming learning on young children’s CT has not yet been discussed. </w:t>
      </w:r>
      <w:r>
        <w:rPr>
          <w:rFonts w:hint="eastAsia" w:ascii="Times New Roman" w:hAnsi="Times New Roman" w:cs="Times New Roman"/>
        </w:rPr>
        <w:t>Considering this limitation</w:t>
      </w:r>
      <w:r>
        <w:rPr>
          <w:rFonts w:ascii="Times New Roman" w:hAnsi="Times New Roman" w:cs="Times New Roman"/>
        </w:rPr>
        <w:t xml:space="preserve">, this study attempted to integrate metaphors into robot programming to propose a metaphor-based robot programming (MRP) approach to developing young children’s CT. </w:t>
      </w:r>
    </w:p>
    <w:p w14:paraId="396B685B">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In addition, Bers et al. (2019</w:t>
      </w:r>
      <w:r>
        <w:rPr>
          <w:rFonts w:ascii="Times New Roman" w:hAnsi="Times New Roman" w:cs="Times New Roman"/>
        </w:rPr>
        <w:t>,</w:t>
      </w:r>
      <w:r>
        <w:rPr>
          <w:rFonts w:hint="eastAsia" w:ascii="Times New Roman" w:hAnsi="Times New Roman" w:cs="Times New Roman"/>
        </w:rPr>
        <w:t xml:space="preserve"> 2022) emphasized the importance of exploring children</w:t>
      </w:r>
      <w:r>
        <w:rPr>
          <w:rFonts w:ascii="Times New Roman" w:hAnsi="Times New Roman" w:cs="Times New Roman"/>
        </w:rPr>
        <w:t>’</w:t>
      </w:r>
      <w:r>
        <w:rPr>
          <w:rFonts w:hint="eastAsia" w:ascii="Times New Roman" w:hAnsi="Times New Roman" w:cs="Times New Roman"/>
        </w:rPr>
        <w:t>s learning behaviors in technology-enhanced learning contexts, particularly in robot programming learning.</w:t>
      </w:r>
      <w:r>
        <w:rPr>
          <w:rFonts w:ascii="Times New Roman" w:hAnsi="Times New Roman" w:cs="Times New Roman"/>
        </w:rPr>
        <w:t xml:space="preserve"> </w:t>
      </w:r>
      <w:r>
        <w:rPr>
          <w:rFonts w:hint="eastAsia" w:ascii="Times New Roman" w:hAnsi="Times New Roman" w:cs="Times New Roman"/>
        </w:rPr>
        <w:t>As c</w:t>
      </w:r>
      <w:r>
        <w:rPr>
          <w:rFonts w:ascii="Times New Roman" w:hAnsi="Times New Roman" w:cs="Times New Roman"/>
        </w:rPr>
        <w:t>hildren tend to perform different learning behaviors under different teaching approaches (Sun et al., 2021; Zhan et al., 2022)</w:t>
      </w:r>
      <w:r>
        <w:rPr>
          <w:rFonts w:hint="eastAsia" w:ascii="Times New Roman" w:hAnsi="Times New Roman" w:cs="Times New Roman"/>
        </w:rPr>
        <w:t xml:space="preserve">, </w:t>
      </w:r>
      <w:r>
        <w:rPr>
          <w:rFonts w:ascii="Times New Roman" w:hAnsi="Times New Roman" w:cs="Times New Roman"/>
        </w:rPr>
        <w:t>analyzing and comparing children’s learning behaviors can not only provide qualitative data to evaluate</w:t>
      </w:r>
      <w:r>
        <w:rPr>
          <w:rFonts w:ascii="Times New Roman" w:hAnsi="Times New Roman" w:cs="Times New Roman"/>
          <w:lang w:eastAsia="zh-Hans"/>
        </w:rPr>
        <w:t xml:space="preserve"> the effectiveness of the proposed teaching methods (e.g., children under </w:t>
      </w:r>
      <w:r>
        <w:rPr>
          <w:rFonts w:ascii="Times New Roman" w:hAnsi="Times New Roman" w:cs="Times New Roman"/>
        </w:rPr>
        <w:t xml:space="preserve">effective teaching methods tend to perform more positive learning behaviors), </w:t>
      </w:r>
      <w:r>
        <w:rPr>
          <w:rFonts w:ascii="Times New Roman" w:hAnsi="Times New Roman" w:cs="Times New Roman"/>
          <w:lang w:eastAsia="zh-Hans"/>
        </w:rPr>
        <w:t xml:space="preserve">but also </w:t>
      </w:r>
      <w:r>
        <w:rPr>
          <w:rFonts w:ascii="Times New Roman" w:hAnsi="Times New Roman" w:cs="Times New Roman"/>
        </w:rPr>
        <w:t>provide references for educational researchers to</w:t>
      </w:r>
      <w:r>
        <w:rPr>
          <w:rFonts w:ascii="Times New Roman" w:hAnsi="Times New Roman" w:cs="Times New Roman"/>
          <w:lang w:eastAsia="zh-Hans"/>
        </w:rPr>
        <w:t xml:space="preserve"> </w:t>
      </w:r>
      <w:r>
        <w:rPr>
          <w:rFonts w:ascii="Times New Roman" w:hAnsi="Times New Roman" w:cs="Times New Roman"/>
        </w:rPr>
        <w:t>formulate more effective pedagogical approaches or strategies (</w:t>
      </w:r>
      <w:r>
        <w:rPr>
          <w:rFonts w:hint="eastAsia" w:ascii="Times New Roman" w:hAnsi="Times New Roman" w:cs="Times New Roman"/>
          <w:lang w:val="en-US" w:eastAsia="zh-CN"/>
        </w:rPr>
        <w:t>Hwang et al</w:t>
      </w:r>
      <w:r>
        <w:rPr>
          <w:rFonts w:ascii="Times New Roman" w:hAnsi="Times New Roman" w:cs="Times New Roman"/>
        </w:rPr>
        <w:t>, 2017, 2021). However, current research on exploring young children’s learning behaviors in programming learning is sparse. Therefore, this study further explored the impact of the MRP approach on young children’s behavioral patterns. We hypothesized that children who adopted the MRP approach would better enhance their CT and exhibit more positive learning behaviors. The main research questions of this study are as follows:</w:t>
      </w:r>
    </w:p>
    <w:p w14:paraId="35A1C457">
      <w:pPr>
        <w:pStyle w:val="20"/>
        <w:numPr>
          <w:ilvl w:val="0"/>
          <w:numId w:val="2"/>
        </w:numPr>
        <w:adjustRightInd w:val="0"/>
        <w:snapToGrid w:val="0"/>
        <w:spacing w:line="360" w:lineRule="auto"/>
        <w:ind w:left="567" w:leftChars="0"/>
        <w:jc w:val="both"/>
        <w:rPr>
          <w:rFonts w:ascii="Times New Roman" w:hAnsi="Times New Roman" w:cs="Times New Roman"/>
        </w:rPr>
      </w:pPr>
      <w:r>
        <w:rPr>
          <w:rFonts w:ascii="Times New Roman" w:hAnsi="Times New Roman" w:cs="Times New Roman"/>
        </w:rPr>
        <w:t>Does the MRP approach better promote young children’s CT than the conventional robot programming (CRP) approach?</w:t>
      </w:r>
    </w:p>
    <w:p w14:paraId="339D2E14">
      <w:pPr>
        <w:pStyle w:val="20"/>
        <w:numPr>
          <w:ilvl w:val="0"/>
          <w:numId w:val="2"/>
        </w:numPr>
        <w:adjustRightInd w:val="0"/>
        <w:snapToGrid w:val="0"/>
        <w:spacing w:line="360" w:lineRule="auto"/>
        <w:ind w:left="567" w:leftChars="0"/>
        <w:jc w:val="both"/>
        <w:rPr>
          <w:rFonts w:ascii="Times New Roman" w:hAnsi="Times New Roman" w:cs="Times New Roman"/>
        </w:rPr>
      </w:pPr>
      <w:r>
        <w:rPr>
          <w:rFonts w:ascii="Times New Roman" w:hAnsi="Times New Roman" w:cs="Times New Roman"/>
        </w:rPr>
        <w:t xml:space="preserve">Does the MRP approach better promote young children’s </w:t>
      </w:r>
      <w:r>
        <w:rPr>
          <w:rFonts w:hint="eastAsia" w:ascii="Times New Roman" w:hAnsi="Times New Roman" w:cs="Times New Roman"/>
        </w:rPr>
        <w:t xml:space="preserve">positive </w:t>
      </w:r>
      <w:r>
        <w:rPr>
          <w:rFonts w:ascii="Times New Roman" w:hAnsi="Times New Roman" w:cs="Times New Roman"/>
        </w:rPr>
        <w:t>learning behaviors than the CRP approach</w:t>
      </w:r>
      <w:r>
        <w:rPr>
          <w:rFonts w:hint="eastAsia" w:ascii="Times New Roman" w:hAnsi="Times New Roman" w:cs="Times New Roman"/>
        </w:rPr>
        <w:t>?</w:t>
      </w:r>
    </w:p>
    <w:p w14:paraId="158CE26F">
      <w:pPr>
        <w:widowControl/>
        <w:adjustRightInd w:val="0"/>
        <w:snapToGrid w:val="0"/>
        <w:spacing w:line="360" w:lineRule="auto"/>
        <w:ind w:firstLine="480" w:firstLineChars="200"/>
        <w:jc w:val="both"/>
        <w:rPr>
          <w:rFonts w:ascii="Times New Roman" w:hAnsi="Times New Roman" w:eastAsia="標楷體" w:cs="PMingLiU"/>
          <w:kern w:val="0"/>
          <w:szCs w:val="24"/>
        </w:rPr>
      </w:pPr>
    </w:p>
    <w:p w14:paraId="74725789">
      <w:pPr>
        <w:pStyle w:val="20"/>
        <w:numPr>
          <w:ilvl w:val="0"/>
          <w:numId w:val="3"/>
        </w:numPr>
        <w:adjustRightInd w:val="0"/>
        <w:snapToGrid w:val="0"/>
        <w:spacing w:line="360" w:lineRule="auto"/>
        <w:ind w:left="417" w:leftChars="0" w:hanging="417" w:hangingChars="149"/>
        <w:jc w:val="both"/>
        <w:rPr>
          <w:rFonts w:ascii="Times New Roman" w:hAnsi="Times New Roman" w:cs="Times New Roman"/>
          <w:b/>
          <w:sz w:val="28"/>
        </w:rPr>
      </w:pPr>
      <w:r>
        <w:rPr>
          <w:rFonts w:hint="eastAsia" w:ascii="Times New Roman" w:hAnsi="Times New Roman" w:cs="Times New Roman"/>
          <w:b/>
          <w:sz w:val="28"/>
        </w:rPr>
        <w:t>L</w:t>
      </w:r>
      <w:r>
        <w:rPr>
          <w:rFonts w:ascii="Times New Roman" w:hAnsi="Times New Roman" w:cs="Times New Roman"/>
          <w:b/>
          <w:sz w:val="28"/>
        </w:rPr>
        <w:t>iterature Review</w:t>
      </w:r>
    </w:p>
    <w:p w14:paraId="2AC8ACF7">
      <w:pPr>
        <w:pStyle w:val="20"/>
        <w:numPr>
          <w:ilvl w:val="1"/>
          <w:numId w:val="3"/>
        </w:numPr>
        <w:adjustRightInd w:val="0"/>
        <w:snapToGrid w:val="0"/>
        <w:spacing w:line="360" w:lineRule="auto"/>
        <w:ind w:leftChars="0"/>
        <w:jc w:val="both"/>
        <w:rPr>
          <w:rFonts w:ascii="Times New Roman" w:hAnsi="Times New Roman" w:cs="Times New Roman"/>
          <w:b/>
        </w:rPr>
      </w:pPr>
      <w:r>
        <w:rPr>
          <w:rFonts w:ascii="Times New Roman" w:hAnsi="Times New Roman" w:cs="Times New Roman"/>
          <w:b/>
        </w:rPr>
        <w:t>Computational thinking for young children</w:t>
      </w:r>
    </w:p>
    <w:p w14:paraId="35AF358F">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 xml:space="preserve">Papert (1980) first introduced CT in his book, Mindstorms: Children, Computers, and Powerful Ideas. He developed the LOGO programming language and discussed the challenge of incorporating computer science education into a playful setting to improve children’s problem-solving skills. Later, Wing (2006) first explicitly defined the term CT and popularized it. She emphasized the significance of CT for children and stated that it is as important as reading, writing, and arithmetic. Moreover, several attempts have made CT more specific (e.g., Brennan &amp; Resnick, 2012; CSTA, 2011; Grover &amp; Pea, 2013). For example, Brennan and Resnick (2012) divided CT into a three-dimensional framework consisting of CT concepts, CT practices, and CT perspectives. Bers (2018) concentrated on young children’s CT and proposed seven powerful ideas: hardware/software, algorithm, representation, debugging, modularity, control structure, and design process. Despite the numerous different definitions of CT, the problem-solving nature of CT in technological and real-world problems has gained widespread recognition (Bers et al., 2018; Wing, 2006; Yang et al., 2022). </w:t>
      </w:r>
    </w:p>
    <w:p w14:paraId="282AA7FA">
      <w:pPr>
        <w:pStyle w:val="20"/>
        <w:adjustRightInd w:val="0"/>
        <w:snapToGrid w:val="0"/>
        <w:spacing w:line="360" w:lineRule="auto"/>
        <w:ind w:left="0" w:leftChars="0" w:firstLine="480" w:firstLineChars="200"/>
        <w:jc w:val="both"/>
        <w:rPr>
          <w:rFonts w:ascii="Times New Roman Regular" w:hAnsi="Times New Roman Regular" w:cs="Times New Roman Regular"/>
          <w:lang w:eastAsia="zh-Hans"/>
        </w:rPr>
      </w:pPr>
      <w:r>
        <w:rPr>
          <w:rFonts w:ascii="Times New Roman Regular" w:hAnsi="Times New Roman Regular" w:cs="Times New Roman Regular"/>
        </w:rPr>
        <w:t>In recent years, cultivating young children’s CT has sparked increasing attention. Recent works have shown that early-year CT education is associated with STEM subject learning (Sun et al., 2022), executive functions (Arfé et al., 2020</w:t>
      </w:r>
      <w:r>
        <w:rPr>
          <w:rFonts w:ascii="Times New Roman Regular" w:hAnsi="Times New Roman Regular" w:cs="Times New Roman Regular"/>
          <w:lang w:eastAsia="zh-Hans"/>
        </w:rPr>
        <w:t xml:space="preserve">; </w:t>
      </w:r>
      <w:r>
        <w:rPr>
          <w:rFonts w:ascii="Times New Roman Regular" w:hAnsi="Times New Roman Regular" w:cs="Times New Roman Regular"/>
        </w:rPr>
        <w:t>Di Lieto et al., 2017), 21st-century competencies (Bakala et al., 2021</w:t>
      </w:r>
      <w:r>
        <w:rPr>
          <w:rFonts w:ascii="Times New Roman Regular" w:hAnsi="Times New Roman Regular" w:cs="Times New Roman Regular"/>
          <w:lang w:eastAsia="zh-Hans"/>
        </w:rPr>
        <w:t xml:space="preserve">; </w:t>
      </w:r>
      <w:r>
        <w:rPr>
          <w:rFonts w:ascii="Times New Roman Regular" w:hAnsi="Times New Roman Regular" w:cs="Times New Roman Regular"/>
        </w:rPr>
        <w:t>Bers et al., 2019; Lye &amp; Koh, 2014), and even future career paths (Bati, 2021). As human society is becoming increasingly intelligent, early-year CT education can not only be good preparation for their following technological learning and even other subject learning, but can also help them better solve complicated problems in the future (Yang et al., 2022; Zhan et al., 2022). Early childhood is a critical period for children’s development and learning (Piaget, 1971); therefore, cultivating young children’s CT should be highly emphasized.</w:t>
      </w:r>
    </w:p>
    <w:p w14:paraId="346CF4F2">
      <w:pPr>
        <w:pStyle w:val="20"/>
        <w:adjustRightInd w:val="0"/>
        <w:snapToGrid w:val="0"/>
        <w:spacing w:line="360" w:lineRule="auto"/>
        <w:ind w:left="360" w:leftChars="0" w:hanging="360"/>
        <w:jc w:val="both"/>
        <w:rPr>
          <w:rFonts w:ascii="Times New Roman" w:hAnsi="Times New Roman" w:cs="Times New Roman"/>
          <w:b/>
        </w:rPr>
      </w:pPr>
    </w:p>
    <w:p w14:paraId="20076F5C">
      <w:pPr>
        <w:pStyle w:val="20"/>
        <w:adjustRightInd w:val="0"/>
        <w:snapToGrid w:val="0"/>
        <w:spacing w:line="360" w:lineRule="auto"/>
        <w:ind w:left="360" w:leftChars="0" w:hanging="360"/>
        <w:jc w:val="both"/>
        <w:rPr>
          <w:rFonts w:ascii="Times New Roman" w:hAnsi="Times New Roman" w:cs="Times New Roman"/>
          <w:b/>
        </w:rPr>
      </w:pPr>
      <w:r>
        <w:rPr>
          <w:rFonts w:hint="eastAsia" w:ascii="Times New Roman" w:hAnsi="Times New Roman" w:cs="Times New Roman"/>
          <w:b/>
        </w:rPr>
        <w:t>2.2</w:t>
      </w:r>
      <w:r>
        <w:rPr>
          <w:rFonts w:ascii="Times New Roman" w:hAnsi="Times New Roman" w:cs="Times New Roman"/>
          <w:b/>
        </w:rPr>
        <w:t xml:space="preserve"> Robot programming and computational thinking for young children</w:t>
      </w:r>
    </w:p>
    <w:p w14:paraId="3CA8E1AD">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In recent years, several studies have verified that programming is the most effective means to promote learners’ CT (e.g., Bers, 2018; Macrides et al., 2022; Relkin et al., 2021). The rapid advancement of smart technologies promotes the rise of educational robotics (</w:t>
      </w:r>
      <w:r>
        <w:rPr>
          <w:rFonts w:hint="eastAsia" w:ascii="Times New Roman" w:hAnsi="Times New Roman" w:cs="Times New Roman"/>
          <w:lang w:val="en-US" w:eastAsia="zh-CN"/>
        </w:rPr>
        <w:t>Zhang et al</w:t>
      </w:r>
      <w:r>
        <w:rPr>
          <w:rFonts w:ascii="Times New Roman" w:hAnsi="Times New Roman" w:cs="Times New Roman"/>
        </w:rPr>
        <w:t>, 2023a, b). Programmable robotics was designed as a developmental-appropriate tool to teach children programming and develop their CT (Bakala et al., 2021; Critten et al., 2021; Relkin et al., 2021). In addition, robot programming tends to be designed according to the principle of a low floor (the ability for children to program without professional training).</w:t>
      </w:r>
      <w:r>
        <w:rPr>
          <w:rFonts w:hint="eastAsia" w:ascii="Times New Roman" w:hAnsi="Times New Roman" w:cs="Times New Roman"/>
          <w:lang w:val="en-US" w:eastAsia="zh-CN"/>
        </w:rPr>
        <w:t xml:space="preserve"> </w:t>
      </w:r>
      <w:r>
        <w:rPr>
          <w:rFonts w:ascii="Times New Roman" w:hAnsi="Times New Roman" w:cs="Times New Roman"/>
        </w:rPr>
        <w:t>Compared with screen-based programming, robot programming can not only protect children’s visual health but also reduce their cognitive load (Bers et al., </w:t>
      </w:r>
      <w:r>
        <w:fldChar w:fldCharType="begin"/>
      </w:r>
      <w:r>
        <w:instrText xml:space="preserve"> HYPERLINK "https://link.springer.com/article/10.1007/s10639-023-11807-4" \l "ref-CR6" \o "Bers, M. U., Flannery, L., Kazakoff, E. R., &amp; Sullivan, A. (2014). Computational thinking and tinkering: Exploration of an early childhood robotics curriculum. Computers &amp; Education, 72, 145–157.                 https://doi.org/10.1016/j.compedu.2013.10.020   " </w:instrText>
      </w:r>
      <w:r>
        <w:fldChar w:fldCharType="separate"/>
      </w:r>
      <w:r>
        <w:rPr>
          <w:rFonts w:ascii="Times New Roman" w:hAnsi="Times New Roman" w:cs="Times New Roman"/>
        </w:rPr>
        <w:t>2014</w:t>
      </w:r>
      <w:r>
        <w:rPr>
          <w:rFonts w:ascii="Times New Roman" w:hAnsi="Times New Roman" w:cs="Times New Roman"/>
        </w:rPr>
        <w:fldChar w:fldCharType="end"/>
      </w:r>
      <w:r>
        <w:rPr>
          <w:rFonts w:ascii="Times New Roman" w:hAnsi="Times New Roman" w:cs="Times New Roman"/>
        </w:rPr>
        <w:t xml:space="preserve">; Fu et al., 2023). More importantly, robot programming provides young children with great opportunities to interact with tangible objects in a playful learning context to foster their CT (Bakala et al., 2021; Yang et al., 2022; Zhan et al., 2022). Based on Papert’s (1980) constructionism, children can learn by manipulating technology and creating their own projects where they can express ideas, think, and formulate solutions. Research has identified the applicability and positive benefits of robot programming in developing CT for young children (Bers et al., 2019; </w:t>
      </w:r>
      <w:r>
        <w:rPr>
          <w:rFonts w:hint="eastAsia" w:ascii="Times New Roman" w:hAnsi="Times New Roman" w:cs="Times New Roman"/>
          <w:lang w:val="en-US" w:eastAsia="zh-CN"/>
        </w:rPr>
        <w:t xml:space="preserve">Fu et al., 2023; </w:t>
      </w:r>
      <w:r>
        <w:rPr>
          <w:rFonts w:ascii="Times New Roman" w:hAnsi="Times New Roman" w:cs="Times New Roman"/>
        </w:rPr>
        <w:t>Yang et al., 2022). For example, Bers et al. (2019) confirmed that children could achieve high-level CT through the KIBO robotic kit. Fu et al. (2023)</w:t>
      </w:r>
      <w:r>
        <w:rPr>
          <w:rFonts w:hint="eastAsia" w:ascii="Times New Roman" w:hAnsi="Times New Roman" w:cs="Times New Roman"/>
          <w:lang w:val="en-US" w:eastAsia="zh-CN"/>
        </w:rPr>
        <w:t xml:space="preserve"> and </w:t>
      </w:r>
      <w:r>
        <w:rPr>
          <w:rFonts w:ascii="Times New Roman" w:hAnsi="Times New Roman" w:cs="Times New Roman"/>
        </w:rPr>
        <w:t>Yang et al. (2022) revealed the positive benefits of Matatalab robot programming to early-year children’s CT. Bers et al. (2019) also revealed that through the KIBO robot programming curriculum, children’s positive behaviors of communication, collaboration, and creativity could be greatly promoted. As such, robot programming can be an age-appropriate and effective means to promote young children’s CT</w:t>
      </w:r>
      <w:r>
        <w:rPr>
          <w:rFonts w:hint="eastAsia" w:ascii="Times New Roman" w:hAnsi="Times New Roman" w:cs="Times New Roman"/>
          <w:lang w:eastAsia="zh-CN"/>
        </w:rPr>
        <w:t xml:space="preserve"> </w:t>
      </w:r>
      <w:r>
        <w:rPr>
          <w:rFonts w:ascii="Times New Roman" w:hAnsi="Times New Roman" w:cs="Times New Roman"/>
        </w:rPr>
        <w:t>and positive learning behaviors.</w:t>
      </w:r>
    </w:p>
    <w:p w14:paraId="05AE2A28">
      <w:pPr>
        <w:pStyle w:val="20"/>
        <w:adjustRightInd w:val="0"/>
        <w:snapToGrid w:val="0"/>
        <w:spacing w:line="360" w:lineRule="auto"/>
        <w:ind w:left="0" w:leftChars="0" w:firstLine="480" w:firstLineChars="200"/>
        <w:jc w:val="both"/>
        <w:rPr>
          <w:rFonts w:ascii="Times New Roman" w:hAnsi="Times New Roman" w:cs="Times New Roman"/>
          <w:highlight w:val="yellow"/>
        </w:rPr>
      </w:pPr>
      <w:r>
        <w:rPr>
          <w:rFonts w:hint="eastAsia" w:ascii="Times New Roman" w:hAnsi="Times New Roman" w:cs="Times New Roman"/>
          <w:lang w:eastAsia="zh-CN"/>
        </w:rPr>
        <w:t>For the pedagogical approach of robot programming to foster children</w:t>
      </w:r>
      <w:r>
        <w:rPr>
          <w:rFonts w:ascii="Times New Roman" w:hAnsi="Times New Roman" w:cs="Times New Roman"/>
          <w:lang w:eastAsia="zh-CN"/>
        </w:rPr>
        <w:t>’</w:t>
      </w:r>
      <w:r>
        <w:rPr>
          <w:rFonts w:hint="eastAsia" w:ascii="Times New Roman" w:hAnsi="Times New Roman" w:cs="Times New Roman"/>
          <w:lang w:eastAsia="zh-CN"/>
        </w:rPr>
        <w:t xml:space="preserve">s CT, </w:t>
      </w:r>
      <w:r>
        <w:rPr>
          <w:rFonts w:ascii="Times New Roman" w:hAnsi="Times New Roman" w:cs="Times New Roman"/>
        </w:rPr>
        <w:t xml:space="preserve">Bers (2019) proposed a “Coding as Another Language” approach for early childhood computer science, grounded on the principle that the process of learning the program may be akin to learning a new language for communicative and expressive functions. In addition, Bers et al. (2019) proposed a “Coding as a playground” approach for teaching children programming and developing their CT as well as promoting children’s positive behaviors based on the KIBO robotic kit. </w:t>
      </w:r>
      <w:r>
        <w:rPr>
          <w:rFonts w:hint="eastAsia" w:ascii="Times New Roman" w:hAnsi="Times New Roman" w:eastAsia="PMingLiU" w:cs="Times New Roman"/>
        </w:rPr>
        <w:t>Moreover, according to the review work of Bakala et al. (2021) and Macrides et al. (2022), most studies used a narrative approach in robot programming education.</w:t>
      </w:r>
      <w:r>
        <w:rPr>
          <w:rFonts w:ascii="Times New Roman" w:hAnsi="Times New Roman" w:cs="Times New Roman"/>
        </w:rPr>
        <w:t xml:space="preserve"> </w:t>
      </w:r>
      <w:r>
        <w:rPr>
          <w:rFonts w:ascii="Times New Roman" w:hAnsi="Times New Roman" w:cs="Times New Roman"/>
          <w:color w:val="C00000"/>
        </w:rPr>
        <w:t xml:space="preserve">It can be seen that </w:t>
      </w:r>
      <w:r>
        <w:rPr>
          <w:rFonts w:hint="eastAsia" w:ascii="Times New Roman" w:hAnsi="Times New Roman" w:cs="Times New Roman"/>
          <w:color w:val="C00000"/>
          <w:lang w:eastAsia="zh-CN"/>
        </w:rPr>
        <w:t>conventional robot programming teaching commonly adopted the narration-based approach where teachers introduce the CT concepts and the usage of programming instructions by narration</w:t>
      </w:r>
      <w:r>
        <w:rPr>
          <w:rFonts w:ascii="Times New Roman" w:hAnsi="Times New Roman" w:cs="Times New Roman"/>
          <w:color w:val="C00000"/>
          <w:lang w:eastAsia="zh-CN"/>
        </w:rPr>
        <w:t>,</w:t>
      </w:r>
      <w:r>
        <w:rPr>
          <w:rFonts w:hint="eastAsia" w:ascii="Times New Roman" w:hAnsi="Times New Roman" w:cs="Times New Roman"/>
          <w:color w:val="C00000"/>
          <w:lang w:eastAsia="zh-CN"/>
        </w:rPr>
        <w:t xml:space="preserve"> and then assign corresponding tasks to invite children to create the program and drive robots to achieve a goal (Bakala et al., 2021; Macrides et al., 2022; Relkin et al., 2021). </w:t>
      </w:r>
      <w:r>
        <w:rPr>
          <w:rFonts w:ascii="Times New Roman" w:hAnsi="Times New Roman" w:cs="Times New Roman"/>
        </w:rPr>
        <w:t xml:space="preserve">However, young children still have challenges in grasping some abstract CT concepts, such as algorithms, loops, and debugging (Bers et al., 2014; Critten et al., 2021; </w:t>
      </w:r>
      <w:r>
        <w:rPr>
          <w:rFonts w:hint="eastAsia" w:ascii="Times New Roman" w:hAnsi="Times New Roman" w:cs="Times New Roman"/>
          <w:lang w:val="en-US" w:eastAsia="zh-CN"/>
        </w:rPr>
        <w:t xml:space="preserve">Hwang et al., 2022; </w:t>
      </w:r>
      <w:r>
        <w:rPr>
          <w:rFonts w:ascii="Times New Roman" w:hAnsi="Times New Roman" w:cs="Times New Roman"/>
        </w:rPr>
        <w:t>Kwon et al., 2022; Relkin et al., 2021; Rijke et al., 2018). This problem has not yet been well addressed in previous research.</w:t>
      </w:r>
    </w:p>
    <w:p w14:paraId="492E07DC">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w:hAnsi="Times New Roman" w:cs="Times New Roman"/>
        </w:rPr>
        <w:t>Relkin et al. (2021) mentioned that the stage of children’s development can constrain the acquisition of CT. Piaget’s (1971) developmental stages proposed that young children are primarily in the preoperational stage or transiting from the preoperational stage to the concrete operations stage. Specifically, at the preoperational stage (ages 2-7), it is not yet possible for young children to conceptualize abstractly, and their conceptual knowledge constructions are dependent on more concrete and familiar experiences to represent abstract concepts. As Heintzet al. (2016) indicated, children need clear, careful, and well-focused thinking to learn programming. As such, there is a further need to propose an age-appropriate pedagogical approach to teach young children robot programming and develop their CT.</w:t>
      </w:r>
    </w:p>
    <w:p w14:paraId="7A225075">
      <w:pPr>
        <w:pStyle w:val="20"/>
        <w:adjustRightInd w:val="0"/>
        <w:snapToGrid w:val="0"/>
        <w:spacing w:line="360" w:lineRule="auto"/>
        <w:ind w:left="0" w:leftChars="0"/>
        <w:jc w:val="both"/>
        <w:rPr>
          <w:rFonts w:ascii="Times New Roman Regular" w:hAnsi="Times New Roman Regular" w:cs="Times New Roman Regular"/>
        </w:rPr>
      </w:pPr>
    </w:p>
    <w:p w14:paraId="5AAB8B61">
      <w:pPr>
        <w:pStyle w:val="20"/>
        <w:adjustRightInd w:val="0"/>
        <w:snapToGrid w:val="0"/>
        <w:spacing w:line="360" w:lineRule="auto"/>
        <w:ind w:left="360" w:leftChars="0" w:hanging="360"/>
        <w:jc w:val="both"/>
        <w:rPr>
          <w:rFonts w:ascii="Times New Roman" w:hAnsi="Times New Roman" w:cs="Times New Roman"/>
          <w:b/>
        </w:rPr>
      </w:pPr>
      <w:r>
        <w:rPr>
          <w:rFonts w:hint="eastAsia" w:ascii="Times New Roman" w:hAnsi="Times New Roman" w:cs="Times New Roman"/>
          <w:b/>
        </w:rPr>
        <w:t>2.</w:t>
      </w:r>
      <w:r>
        <w:rPr>
          <w:rFonts w:ascii="Times New Roman" w:hAnsi="Times New Roman" w:cs="Times New Roman"/>
          <w:b/>
        </w:rPr>
        <w:t>3 Metaphors</w:t>
      </w:r>
    </w:p>
    <w:p w14:paraId="3133F815">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The conceptual metaphor theory (CMT) indicates that conceptual metaphors are employed in everyday life and play a crucial role in an individual’s thinking process (Lakoff &amp; Johnson 1980; MacCormac, 1990). Metaphors allow learners to make connections between relatively abstract areas of experience (target domains) with more concrete experiences we are familiar with (source domains) (Lakoff &amp; Johnson</w:t>
      </w:r>
      <w:r>
        <w:rPr>
          <w:rFonts w:hint="eastAsia" w:ascii="Times New Roman" w:hAnsi="Times New Roman" w:cs="Times New Roman"/>
          <w:lang w:eastAsia="zh-CN"/>
        </w:rPr>
        <w:t>,</w:t>
      </w:r>
      <w:r>
        <w:rPr>
          <w:rFonts w:ascii="Times New Roman" w:hAnsi="Times New Roman" w:cs="Times New Roman"/>
        </w:rPr>
        <w:t xml:space="preserve"> 1980; Lakoff, 1993). Metaphors involve the source domain and the target domain, where the source domain is the projection of the target domain (MacCormac, 1990; Saban, 2006). For example, in the sayings “life is a journey” and “life is a play,” the “journey” and “play” metaphors were used to help learners better understand the different interpretations of abstract “life” concepts. The essence of metaphors is to resort to well-known concepts to describe what we are unfamiliar with (MacCormac, 1990; Saban, 2006). It is indeed a process of building linkages between the concrete and the abstract ideas (Saban, 2006). In educational fields, metaphors can be an effective facilitator to connect abstract concepts into concrete and familiar concepts that are relevant to students’ life and learning experiences (</w:t>
      </w:r>
      <w:r>
        <w:rPr>
          <w:rFonts w:hint="eastAsia" w:ascii="Times New Roman" w:hAnsi="Times New Roman" w:cs="Times New Roman"/>
          <w:lang w:val="en-GB" w:eastAsia="zh-CN"/>
        </w:rPr>
        <w:t>Fa</w:t>
      </w:r>
      <w:r>
        <w:rPr>
          <w:rFonts w:hint="eastAsia" w:ascii="Times New Roman" w:hAnsi="Times New Roman" w:cs="Times New Roman"/>
          <w:highlight w:val="none"/>
          <w:lang w:val="en-GB" w:eastAsia="zh-CN"/>
        </w:rPr>
        <w:t>in</w:t>
      </w:r>
      <w:r>
        <w:rPr>
          <w:rFonts w:ascii="Times New Roman" w:hAnsi="Times New Roman" w:cs="Times New Roman"/>
          <w:highlight w:val="none"/>
        </w:rPr>
        <w:t>, 200</w:t>
      </w:r>
      <w:r>
        <w:rPr>
          <w:rFonts w:ascii="Times New Roman" w:hAnsi="Times New Roman" w:cs="Times New Roman"/>
        </w:rPr>
        <w:t>1; Silvestre-López, 2022). For educational researchers and practitioners, the selection of metaphors should closely link with the learner’s daily life contexts or learning knowledge that has already been well understood (Lakoff, 1993; Peelle, 1983; Saban, 2006). Until now, several researchers have used and validated the effectiveness of metaphors in a variety of subject teachings, such as language, mathematics, and chemistry (Bas &amp; Gezegin, 2017; Reinhardt, 2020; Thomas &amp; McRobbie, 2001; Yee, 2017). Their results revealed that metaphors can help students better acquire the corresponding concepts and promote their learning performance.</w:t>
      </w:r>
    </w:p>
    <w:p w14:paraId="1F035252">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w:hAnsi="Times New Roman" w:cs="Times New Roman"/>
        </w:rPr>
        <w:t>In addition, metaphors have been applied to teach programming (Milner, 2010; Pérez-Marín et al., 2018; 2020). Milner (2010) conducted a study using the EventListener metaphor in programming teaching and verified its effectiveness in helping college students understand the mechanism of Java event handling. Pérez-Marín (2018) proposed a methodology proposal based on metaphors to teach children basic CT concepts, such as a recipe as a program and sequence, a pantry as the memory, and boxes as variables. In addition, Pérez-Marín et al. (2020) further validated its effectiveness in developing CT for primary school students from fourth to sixth grades based on the Scratch programming environment. However, this study lacked a control group to make a comparison with the metaphor-based programming teaching. In addition, some researchers also emphasized the importance of using learner-centered metaphors in programming teaching to develop children’s CT (Angeli &amp; Giannakos, 2020; Manches et al., 2020). Peelle (1983) mentioned that metaphors are particularly useful at an early stage of computer science learning: they make connections to concepts that are already well understood. From the perspective of children’s cognitive development, young children are better able to construct knowledge through concrete things or existing constructed ideas (Feldman, 2004; Piaget, 1953, 1971). Learning Transfer of Constructivism also requires learning transfer by connecting existing learning experiences and knowledge with target abstract concepts (Duffy &amp; Jonassen, 1991; Prenzel &amp; Mandl, 1993). As we can see, metaphors can be an age-appropriate approach for programming learning, which can connect abstract CT concepts into concrete and familiar concepts that are relevant to children’s life and learning experiences. It shows great potential for promoting young children’s learning performance in programming problem-solving tasks and developing their CT. To date, metaphors have been used in programming teaching to enhance older age groups’ CT (e.g., college students and primary school students), while the applicability of metaphors in programming teaching for developing early-year children’s CT has not yet been discussed. Therefore, this study integrated metaphors into robot programming learning and proposed a metaphor-based robot programming approach to developing young children’s CT.</w:t>
      </w:r>
    </w:p>
    <w:p w14:paraId="30DC5425">
      <w:pPr>
        <w:pStyle w:val="20"/>
        <w:adjustRightInd w:val="0"/>
        <w:snapToGrid w:val="0"/>
        <w:spacing w:line="360" w:lineRule="auto"/>
        <w:ind w:left="0" w:leftChars="0"/>
        <w:jc w:val="both"/>
        <w:rPr>
          <w:rFonts w:ascii="Times New Roman" w:hAnsi="Times New Roman" w:cs="Times New Roman"/>
        </w:rPr>
      </w:pPr>
    </w:p>
    <w:p w14:paraId="611719C6">
      <w:pPr>
        <w:pStyle w:val="20"/>
        <w:numPr>
          <w:ilvl w:val="0"/>
          <w:numId w:val="3"/>
        </w:numPr>
        <w:adjustRightInd w:val="0"/>
        <w:snapToGrid w:val="0"/>
        <w:spacing w:line="360" w:lineRule="auto"/>
        <w:ind w:left="417" w:leftChars="0" w:hanging="417" w:hangingChars="149"/>
        <w:jc w:val="both"/>
        <w:rPr>
          <w:rFonts w:ascii="Times New Roman" w:hAnsi="Times New Roman" w:cs="Times New Roman"/>
          <w:b/>
          <w:sz w:val="28"/>
        </w:rPr>
      </w:pPr>
      <w:r>
        <w:rPr>
          <w:rFonts w:ascii="Times New Roman" w:hAnsi="Times New Roman" w:cs="Times New Roman"/>
          <w:b/>
          <w:sz w:val="28"/>
        </w:rPr>
        <w:t>Development of the metaphor-based robot programming (MRP) approach</w:t>
      </w:r>
    </w:p>
    <w:p w14:paraId="65C32788">
      <w:pPr>
        <w:pStyle w:val="20"/>
        <w:adjustRightInd w:val="0"/>
        <w:snapToGrid w:val="0"/>
        <w:spacing w:line="360" w:lineRule="auto"/>
        <w:ind w:left="360" w:leftChars="0" w:hanging="360"/>
        <w:jc w:val="both"/>
        <w:rPr>
          <w:rFonts w:ascii="Times New Roman" w:hAnsi="Times New Roman" w:cs="Times New Roman"/>
          <w:b/>
          <w:sz w:val="28"/>
        </w:rPr>
      </w:pPr>
      <w:r>
        <w:rPr>
          <w:rFonts w:ascii="Times New Roman" w:hAnsi="Times New Roman" w:cs="Times New Roman"/>
          <w:b/>
        </w:rPr>
        <w:t>3.1 The MRP learning environment</w:t>
      </w:r>
    </w:p>
    <w:p w14:paraId="4FD332F1">
      <w:pPr>
        <w:pStyle w:val="20"/>
        <w:adjustRightInd w:val="0"/>
        <w:snapToGrid w:val="0"/>
        <w:spacing w:line="360" w:lineRule="auto"/>
        <w:ind w:left="0" w:leftChars="0" w:firstLine="480" w:firstLineChars="200"/>
        <w:jc w:val="both"/>
        <w:rPr>
          <w:rFonts w:ascii="Times New Roman" w:hAnsi="Times New Roman" w:eastAsia="PMingLiU" w:cs="Times New Roman"/>
          <w:lang w:val="en-GB"/>
        </w:rPr>
      </w:pPr>
      <w:r>
        <w:rPr>
          <w:rFonts w:ascii="Times New Roman" w:hAnsi="Times New Roman" w:eastAsia="PMingLiU" w:cs="Times New Roman"/>
          <w:lang w:val="en-GB"/>
        </w:rPr>
        <w:t xml:space="preserve">The </w:t>
      </w:r>
      <w:r>
        <w:rPr>
          <w:rFonts w:ascii="Times New Roman Italic" w:hAnsi="Times New Roman Italic" w:eastAsia="PMingLiU" w:cs="Times New Roman Italic"/>
          <w:i/>
          <w:iCs/>
        </w:rPr>
        <w:t>Matatalab</w:t>
      </w:r>
      <w:r>
        <w:rPr>
          <w:rFonts w:ascii="Times New Roman" w:hAnsi="Times New Roman" w:eastAsia="PMingLiU" w:cs="Times New Roman"/>
          <w:lang w:val="en-GB"/>
        </w:rPr>
        <w:t xml:space="preserve"> </w:t>
      </w:r>
      <w:r>
        <w:rPr>
          <w:rFonts w:ascii="Times New Roman" w:hAnsi="Times New Roman" w:eastAsia="PMingLiU" w:cs="Times New Roman"/>
        </w:rPr>
        <w:t>p</w:t>
      </w:r>
      <w:r>
        <w:rPr>
          <w:rFonts w:ascii="Times New Roman" w:hAnsi="Times New Roman" w:eastAsia="PMingLiU" w:cs="Times New Roman"/>
          <w:lang w:val="en-GB"/>
        </w:rPr>
        <w:t xml:space="preserve">rogramming </w:t>
      </w:r>
      <w:r>
        <w:rPr>
          <w:rFonts w:ascii="Times New Roman" w:hAnsi="Times New Roman" w:eastAsia="PMingLiU" w:cs="Times New Roman"/>
        </w:rPr>
        <w:t>k</w:t>
      </w:r>
      <w:r>
        <w:rPr>
          <w:rFonts w:ascii="Times New Roman" w:hAnsi="Times New Roman" w:eastAsia="PMingLiU" w:cs="Times New Roman"/>
          <w:lang w:val="en-GB"/>
        </w:rPr>
        <w:t xml:space="preserve">it was used as the </w:t>
      </w:r>
      <w:r>
        <w:rPr>
          <w:rFonts w:ascii="Times New Roman" w:hAnsi="Times New Roman" w:eastAsia="PMingLiU" w:cs="Times New Roman"/>
        </w:rPr>
        <w:t>learning environment</w:t>
      </w:r>
      <w:r>
        <w:rPr>
          <w:rFonts w:ascii="Times New Roman" w:hAnsi="Times New Roman" w:eastAsia="PMingLiU" w:cs="Times New Roman"/>
          <w:lang w:val="en-GB"/>
        </w:rPr>
        <w:t xml:space="preserve"> in th</w:t>
      </w:r>
      <w:r>
        <w:rPr>
          <w:rFonts w:hint="eastAsia" w:ascii="Times New Roman" w:hAnsi="Times New Roman" w:eastAsia="PMingLiU" w:cs="Times New Roman"/>
          <w:lang w:eastAsia="zh-CN"/>
        </w:rPr>
        <w:t>is</w:t>
      </w:r>
      <w:r>
        <w:rPr>
          <w:rFonts w:ascii="Times New Roman" w:hAnsi="Times New Roman" w:eastAsia="PMingLiU" w:cs="Times New Roman"/>
          <w:lang w:val="en-GB"/>
        </w:rPr>
        <w:t xml:space="preserve"> study</w:t>
      </w:r>
      <w:r>
        <w:rPr>
          <w:rFonts w:ascii="Times New Roman" w:hAnsi="Times New Roman" w:eastAsia="PMingLiU" w:cs="Times New Roman"/>
        </w:rPr>
        <w:t xml:space="preserve"> (Fig. </w:t>
      </w:r>
      <w:r>
        <w:rPr>
          <w:rFonts w:hint="eastAsia" w:ascii="Times New Roman" w:hAnsi="Times New Roman" w:eastAsia="PMingLiU" w:cs="Times New Roman"/>
        </w:rPr>
        <w:t>1</w:t>
      </w:r>
      <w:r>
        <w:rPr>
          <w:rFonts w:ascii="Times New Roman" w:hAnsi="Times New Roman" w:eastAsia="PMingLiU" w:cs="Times New Roman"/>
        </w:rPr>
        <w:t xml:space="preserve">). </w:t>
      </w:r>
      <w:r>
        <w:rPr>
          <w:rFonts w:ascii="Times New Roman Italic" w:hAnsi="Times New Roman Italic" w:eastAsia="PMingLiU" w:cs="Times New Roman Italic"/>
          <w:i/>
          <w:iCs/>
          <w:lang w:val="en-GB"/>
        </w:rPr>
        <w:t>Matatalab</w:t>
      </w:r>
      <w:r>
        <w:rPr>
          <w:rFonts w:ascii="Times New Roman" w:hAnsi="Times New Roman" w:eastAsia="PMingLiU" w:cs="Times New Roman"/>
          <w:lang w:val="en-GB"/>
        </w:rPr>
        <w:t xml:space="preserve"> is a screen-free programmable robot </w:t>
      </w:r>
      <w:r>
        <w:rPr>
          <w:rFonts w:ascii="Times New Roman" w:hAnsi="Times New Roman" w:eastAsia="PMingLiU" w:cs="Times New Roman"/>
        </w:rPr>
        <w:t xml:space="preserve">kit </w:t>
      </w:r>
      <w:r>
        <w:rPr>
          <w:rFonts w:ascii="Times New Roman" w:hAnsi="Times New Roman" w:eastAsia="PMingLiU" w:cs="Times New Roman"/>
          <w:lang w:val="en-GB"/>
        </w:rPr>
        <w:t>designed for 4-9-year-old children</w:t>
      </w:r>
      <w:r>
        <w:rPr>
          <w:rFonts w:ascii="Times New Roman" w:hAnsi="Times New Roman" w:eastAsia="PMingLiU" w:cs="Times New Roman"/>
        </w:rPr>
        <w:t>; it includes a programmable robot (MatataBot), command tower, control board, and programming blocks. The MatataBot</w:t>
      </w:r>
      <w:r>
        <w:rPr>
          <w:rFonts w:ascii="Times New Roman" w:hAnsi="Times New Roman" w:eastAsia="PMingLiU" w:cs="Times New Roman"/>
          <w:lang w:val="en-GB"/>
        </w:rPr>
        <w:t xml:space="preserve"> can be programmed with tangible programming blocks: </w:t>
      </w:r>
      <w:r>
        <w:rPr>
          <w:rFonts w:ascii="Times New Roman" w:hAnsi="Times New Roman" w:eastAsia="PMingLiU" w:cs="Times New Roman"/>
        </w:rPr>
        <w:t>the</w:t>
      </w:r>
      <w:r>
        <w:rPr>
          <w:rFonts w:ascii="Times New Roman" w:hAnsi="Times New Roman" w:eastAsia="PMingLiU" w:cs="Times New Roman"/>
          <w:lang w:val="en-GB"/>
        </w:rPr>
        <w:t xml:space="preserve"> child places the programming blocks, then press</w:t>
      </w:r>
      <w:r>
        <w:rPr>
          <w:rFonts w:ascii="Times New Roman" w:hAnsi="Times New Roman" w:eastAsia="PMingLiU" w:cs="Times New Roman"/>
        </w:rPr>
        <w:t>es</w:t>
      </w:r>
      <w:r>
        <w:rPr>
          <w:rFonts w:ascii="Times New Roman" w:hAnsi="Times New Roman" w:eastAsia="PMingLiU" w:cs="Times New Roman"/>
          <w:lang w:val="en-GB"/>
        </w:rPr>
        <w:t xml:space="preserve"> the launch button embedded in the control board, and the command tower scans and recognizes all blocks and transmits the signals to </w:t>
      </w:r>
      <w:r>
        <w:rPr>
          <w:rFonts w:ascii="Times New Roman" w:hAnsi="Times New Roman" w:eastAsia="PMingLiU" w:cs="Times New Roman"/>
        </w:rPr>
        <w:t xml:space="preserve">the </w:t>
      </w:r>
      <w:r>
        <w:rPr>
          <w:rFonts w:ascii="Times New Roman" w:hAnsi="Times New Roman" w:eastAsia="PMingLiU" w:cs="Times New Roman"/>
          <w:lang w:val="en-GB"/>
        </w:rPr>
        <w:t xml:space="preserve">MatataBot to </w:t>
      </w:r>
      <w:r>
        <w:rPr>
          <w:rFonts w:ascii="Times New Roman" w:hAnsi="Times New Roman" w:eastAsia="PMingLiU" w:cs="Times New Roman"/>
        </w:rPr>
        <w:t xml:space="preserve">execute the corresponding </w:t>
      </w:r>
      <w:r>
        <w:rPr>
          <w:rFonts w:ascii="Times New Roman" w:hAnsi="Times New Roman" w:eastAsia="PMingLiU" w:cs="Times New Roman"/>
          <w:lang w:val="en-GB"/>
        </w:rPr>
        <w:t>command</w:t>
      </w:r>
      <w:r>
        <w:rPr>
          <w:rFonts w:ascii="Times New Roman" w:hAnsi="Times New Roman" w:eastAsia="PMingLiU" w:cs="Times New Roman"/>
        </w:rPr>
        <w:t>s on the map</w:t>
      </w:r>
      <w:r>
        <w:rPr>
          <w:rFonts w:ascii="Times New Roman" w:hAnsi="Times New Roman" w:eastAsia="PMingLiU" w:cs="Times New Roman"/>
          <w:lang w:val="en-GB"/>
        </w:rPr>
        <w:t xml:space="preserve">. Each block represents an action or command that the MatataBot performs. </w:t>
      </w:r>
      <w:r>
        <w:rPr>
          <w:rFonts w:ascii="Times New Roman" w:hAnsi="Times New Roman" w:eastAsia="PMingLiU" w:cs="Times New Roman"/>
        </w:rPr>
        <w:t xml:space="preserve">The </w:t>
      </w:r>
      <w:r>
        <w:rPr>
          <w:rFonts w:ascii="Times New Roman Italic" w:hAnsi="Times New Roman Italic" w:eastAsia="PMingLiU" w:cs="Times New Roman Italic"/>
          <w:i/>
          <w:iCs/>
          <w:lang w:val="en-GB"/>
        </w:rPr>
        <w:t>Matatalab</w:t>
      </w:r>
      <w:r>
        <w:rPr>
          <w:rFonts w:ascii="Times New Roman" w:hAnsi="Times New Roman" w:eastAsia="PMingLiU" w:cs="Times New Roman"/>
        </w:rPr>
        <w:t xml:space="preserve"> programming</w:t>
      </w:r>
      <w:r>
        <w:rPr>
          <w:rFonts w:ascii="Times New Roman" w:hAnsi="Times New Roman" w:eastAsia="PMingLiU" w:cs="Times New Roman"/>
          <w:lang w:val="en-GB"/>
        </w:rPr>
        <w:t xml:space="preserve"> </w:t>
      </w:r>
      <w:r>
        <w:rPr>
          <w:rFonts w:ascii="Times New Roman" w:hAnsi="Times New Roman" w:eastAsia="PMingLiU" w:cs="Times New Roman"/>
        </w:rPr>
        <w:t>k</w:t>
      </w:r>
      <w:r>
        <w:rPr>
          <w:rFonts w:ascii="Times New Roman" w:hAnsi="Times New Roman" w:eastAsia="PMingLiU" w:cs="Times New Roman"/>
          <w:lang w:val="en-GB"/>
        </w:rPr>
        <w:t xml:space="preserve">it </w:t>
      </w:r>
      <w:r>
        <w:rPr>
          <w:rFonts w:ascii="Times New Roman" w:hAnsi="Times New Roman" w:eastAsia="PMingLiU" w:cs="Times New Roman"/>
        </w:rPr>
        <w:t xml:space="preserve">can </w:t>
      </w:r>
      <w:r>
        <w:rPr>
          <w:rFonts w:ascii="Times New Roman" w:hAnsi="Times New Roman" w:eastAsia="PMingLiU" w:cs="Times New Roman"/>
          <w:lang w:val="en-GB"/>
        </w:rPr>
        <w:t xml:space="preserve">empower children to learn basic programming </w:t>
      </w:r>
      <w:r>
        <w:rPr>
          <w:rFonts w:hint="eastAsia" w:ascii="Times New Roman" w:hAnsi="Times New Roman" w:eastAsia="PMingLiU" w:cs="Times New Roman"/>
        </w:rPr>
        <w:t xml:space="preserve">and CT </w:t>
      </w:r>
      <w:r>
        <w:rPr>
          <w:rFonts w:ascii="Times New Roman" w:hAnsi="Times New Roman" w:eastAsia="PMingLiU" w:cs="Times New Roman"/>
        </w:rPr>
        <w:t>concepts, explore robot programming problem-solving tasks,</w:t>
      </w:r>
      <w:r>
        <w:rPr>
          <w:rFonts w:ascii="Times New Roman" w:hAnsi="Times New Roman" w:eastAsia="PMingLiU" w:cs="Times New Roman"/>
          <w:lang w:val="en-GB"/>
        </w:rPr>
        <w:t xml:space="preserve"> and develop</w:t>
      </w:r>
      <w:r>
        <w:rPr>
          <w:rFonts w:ascii="Times New Roman" w:hAnsi="Times New Roman" w:eastAsia="PMingLiU" w:cs="Times New Roman"/>
        </w:rPr>
        <w:t xml:space="preserve"> </w:t>
      </w:r>
      <w:r>
        <w:rPr>
          <w:rFonts w:ascii="Times New Roman" w:hAnsi="Times New Roman" w:eastAsia="PMingLiU" w:cs="Times New Roman"/>
          <w:lang w:val="en-GB"/>
        </w:rPr>
        <w:t xml:space="preserve">CT </w:t>
      </w:r>
      <w:r>
        <w:rPr>
          <w:rFonts w:ascii="Times New Roman" w:hAnsi="Times New Roman" w:eastAsia="PMingLiU" w:cs="Times New Roman"/>
        </w:rPr>
        <w:t>(Fu et al., 2023</w:t>
      </w:r>
      <w:r>
        <w:rPr>
          <w:rFonts w:hint="eastAsia" w:ascii="Times New Roman" w:hAnsi="Times New Roman" w:eastAsia="PMingLiU" w:cs="Times New Roman"/>
        </w:rPr>
        <w:t xml:space="preserve">; </w:t>
      </w:r>
      <w:r>
        <w:rPr>
          <w:rFonts w:ascii="Times New Roman" w:hAnsi="Times New Roman" w:eastAsia="PMingLiU" w:cs="Times New Roman"/>
        </w:rPr>
        <w:t>Yang et al., 2022)</w:t>
      </w:r>
      <w:r>
        <w:rPr>
          <w:rFonts w:ascii="Times New Roman" w:hAnsi="Times New Roman" w:eastAsia="PMingLiU" w:cs="Times New Roman"/>
          <w:lang w:val="en-GB"/>
        </w:rPr>
        <w:t>.</w:t>
      </w:r>
    </w:p>
    <w:p w14:paraId="6464A659">
      <w:pPr>
        <w:pStyle w:val="20"/>
        <w:adjustRightInd w:val="0"/>
        <w:snapToGrid w:val="0"/>
        <w:spacing w:line="360" w:lineRule="auto"/>
        <w:ind w:left="0" w:leftChars="0" w:firstLine="480" w:firstLineChars="200"/>
        <w:jc w:val="both"/>
        <w:rPr>
          <w:rFonts w:ascii="Times New Roman" w:hAnsi="Times New Roman" w:eastAsia="PMingLiU" w:cs="Times New Roman"/>
          <w:lang w:val="en-GB"/>
        </w:rPr>
      </w:pPr>
    </w:p>
    <w:p w14:paraId="7939E574">
      <w:pPr>
        <w:spacing w:line="360" w:lineRule="auto"/>
        <w:jc w:val="center"/>
        <w:rPr>
          <w:rFonts w:ascii="Times New Roman" w:hAnsi="Times New Roman" w:eastAsia="PMingLiU" w:cs="Times New Roman"/>
        </w:rPr>
      </w:pPr>
      <w:r>
        <w:rPr>
          <w:rFonts w:ascii="Times New Roman" w:hAnsi="Times New Roman" w:eastAsia="PMingLiU" w:cs="Times New Roman"/>
        </w:rPr>
        <w:drawing>
          <wp:inline distT="0" distB="0" distL="114300" distR="114300">
            <wp:extent cx="5248910" cy="3248025"/>
            <wp:effectExtent l="0" t="0" r="8890" b="3175"/>
            <wp:docPr id="1" name="图片 1" descr="玛塔编程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玛塔编程副本"/>
                    <pic:cNvPicPr>
                      <a:picLocks noChangeAspect="1"/>
                    </pic:cNvPicPr>
                  </pic:nvPicPr>
                  <pic:blipFill>
                    <a:blip r:embed="rId4"/>
                    <a:stretch>
                      <a:fillRect/>
                    </a:stretch>
                  </pic:blipFill>
                  <pic:spPr>
                    <a:xfrm>
                      <a:off x="0" y="0"/>
                      <a:ext cx="5248910" cy="3248025"/>
                    </a:xfrm>
                    <a:prstGeom prst="rect">
                      <a:avLst/>
                    </a:prstGeom>
                  </pic:spPr>
                </pic:pic>
              </a:graphicData>
            </a:graphic>
          </wp:inline>
        </w:drawing>
      </w:r>
    </w:p>
    <w:p w14:paraId="3A465D13">
      <w:pPr>
        <w:widowControl/>
        <w:adjustRightInd w:val="0"/>
        <w:snapToGrid w:val="0"/>
        <w:spacing w:line="360" w:lineRule="auto"/>
        <w:jc w:val="center"/>
        <w:rPr>
          <w:rFonts w:ascii="Times New Roman" w:hAnsi="Times New Roman" w:eastAsia="PMingLiU" w:cs="Times New Roman"/>
          <w:kern w:val="0"/>
          <w:szCs w:val="24"/>
        </w:rPr>
      </w:pPr>
      <w:r>
        <w:rPr>
          <w:rFonts w:hint="eastAsia" w:ascii="Times New Roman" w:hAnsi="Times New Roman" w:eastAsia="PMingLiU" w:cs="Times New Roman"/>
          <w:kern w:val="0"/>
          <w:szCs w:val="24"/>
        </w:rPr>
        <w:t xml:space="preserve">Fig. </w:t>
      </w:r>
      <w:r>
        <w:rPr>
          <w:rFonts w:ascii="Times New Roman" w:hAnsi="Times New Roman" w:eastAsia="PMingLiU" w:cs="Times New Roman"/>
          <w:kern w:val="0"/>
          <w:szCs w:val="24"/>
        </w:rPr>
        <w:t xml:space="preserve">1 </w:t>
      </w:r>
      <w:r>
        <w:rPr>
          <w:rFonts w:ascii="Times New Roman" w:hAnsi="Times New Roman" w:eastAsia="PMingLiU" w:cs="Times New Roman"/>
        </w:rPr>
        <w:t xml:space="preserve">The </w:t>
      </w:r>
      <w:r>
        <w:rPr>
          <w:rFonts w:ascii="Times New Roman Italic" w:hAnsi="Times New Roman Italic" w:eastAsia="PMingLiU" w:cs="Times New Roman Italic"/>
          <w:i/>
          <w:iCs/>
        </w:rPr>
        <w:t>Matatalab</w:t>
      </w:r>
      <w:r>
        <w:rPr>
          <w:rFonts w:ascii="Times New Roman" w:hAnsi="Times New Roman" w:eastAsia="PMingLiU" w:cs="Times New Roman"/>
        </w:rPr>
        <w:t xml:space="preserve"> programming</w:t>
      </w:r>
      <w:r>
        <w:rPr>
          <w:rFonts w:ascii="Times New Roman" w:hAnsi="Times New Roman" w:eastAsia="PMingLiU" w:cs="Times New Roman"/>
          <w:lang w:val="en-GB"/>
        </w:rPr>
        <w:t xml:space="preserve"> </w:t>
      </w:r>
      <w:r>
        <w:rPr>
          <w:rFonts w:ascii="Times New Roman" w:hAnsi="Times New Roman" w:eastAsia="PMingLiU" w:cs="Times New Roman"/>
        </w:rPr>
        <w:t>k</w:t>
      </w:r>
      <w:r>
        <w:rPr>
          <w:rFonts w:ascii="Times New Roman" w:hAnsi="Times New Roman" w:eastAsia="PMingLiU" w:cs="Times New Roman"/>
          <w:lang w:val="en-GB"/>
        </w:rPr>
        <w:t>it</w:t>
      </w:r>
    </w:p>
    <w:p w14:paraId="25E95E9B">
      <w:pPr>
        <w:pStyle w:val="20"/>
        <w:adjustRightInd w:val="0"/>
        <w:snapToGrid w:val="0"/>
        <w:spacing w:line="360" w:lineRule="auto"/>
        <w:ind w:left="0" w:leftChars="0" w:firstLine="480" w:firstLineChars="200"/>
        <w:jc w:val="both"/>
        <w:rPr>
          <w:rFonts w:ascii="Times New Roman" w:hAnsi="Times New Roman" w:cs="Times New Roman"/>
        </w:rPr>
      </w:pPr>
    </w:p>
    <w:p w14:paraId="68E31513">
      <w:pPr>
        <w:pStyle w:val="20"/>
        <w:adjustRightInd w:val="0"/>
        <w:snapToGrid w:val="0"/>
        <w:spacing w:line="360" w:lineRule="auto"/>
        <w:ind w:left="360" w:leftChars="0" w:hanging="360"/>
        <w:jc w:val="both"/>
        <w:rPr>
          <w:rFonts w:ascii="Times New Roman" w:hAnsi="Times New Roman" w:cs="Times New Roman"/>
          <w:b/>
        </w:rPr>
      </w:pPr>
      <w:r>
        <w:rPr>
          <w:rFonts w:ascii="Times New Roman" w:hAnsi="Times New Roman" w:cs="Times New Roman"/>
          <w:b/>
        </w:rPr>
        <w:t>3.2 The curriculum with the MRP approach</w:t>
      </w:r>
    </w:p>
    <w:p w14:paraId="1B408D5C">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lang w:val="en-GB"/>
        </w:rPr>
        <w:t>The robot programming curriculum consists of ten 40</w:t>
      </w:r>
      <w:r>
        <w:rPr>
          <w:rFonts w:ascii="Times New Roman Regular" w:hAnsi="Times New Roman Regular" w:cs="Times New Roman Regular"/>
        </w:rPr>
        <w:t>-</w:t>
      </w:r>
      <w:r>
        <w:rPr>
          <w:rFonts w:ascii="Times New Roman Regular" w:hAnsi="Times New Roman Regular" w:cs="Times New Roman Regular"/>
          <w:lang w:val="en-GB"/>
        </w:rPr>
        <w:t>min</w:t>
      </w:r>
      <w:r>
        <w:rPr>
          <w:rFonts w:ascii="Times New Roman Regular" w:hAnsi="Times New Roman Regular" w:cs="Times New Roman Regular"/>
        </w:rPr>
        <w:t>ute</w:t>
      </w:r>
      <w:r>
        <w:rPr>
          <w:rFonts w:ascii="Times New Roman Regular" w:hAnsi="Times New Roman Regular" w:cs="Times New Roman Regular"/>
          <w:lang w:val="en-GB"/>
        </w:rPr>
        <w:t xml:space="preserve"> activities, with one activity per week. </w:t>
      </w:r>
      <w:r>
        <w:rPr>
          <w:rFonts w:ascii="Times New Roman Regular" w:hAnsi="Times New Roman Regular" w:cs="Times New Roman Regular"/>
        </w:rPr>
        <w:t xml:space="preserve">Children were divided into small groups. Two children had a </w:t>
      </w:r>
      <w:r>
        <w:rPr>
          <w:rFonts w:ascii="Times New Roman Italic" w:hAnsi="Times New Roman Italic" w:cs="Times New Roman Italic"/>
          <w:i/>
          <w:iCs/>
          <w:lang w:val="en-GB"/>
        </w:rPr>
        <w:t>Matatalab</w:t>
      </w:r>
      <w:r>
        <w:rPr>
          <w:rFonts w:ascii="Times New Roman Regular" w:hAnsi="Times New Roman Regular" w:cs="Times New Roman Regular"/>
        </w:rPr>
        <w:t xml:space="preserve"> programming kit. </w:t>
      </w:r>
      <w:r>
        <w:rPr>
          <w:rFonts w:ascii="Times New Roman Regular" w:hAnsi="Times New Roman Regular" w:cs="Times New Roman Regular"/>
          <w:lang w:val="en-GB"/>
        </w:rPr>
        <w:t xml:space="preserve">The curriculum is </w:t>
      </w:r>
      <w:r>
        <w:rPr>
          <w:rFonts w:ascii="Times New Roman Regular" w:hAnsi="Times New Roman Regular" w:cs="Times New Roman Regular"/>
        </w:rPr>
        <w:t>called “</w:t>
      </w:r>
      <w:r>
        <w:rPr>
          <w:rFonts w:ascii="Times New Roman Regular" w:hAnsi="Times New Roman Regular" w:cs="Times New Roman Regular"/>
          <w:lang w:val="en-GB"/>
        </w:rPr>
        <w:t>The Journey to Nature.</w:t>
      </w:r>
      <w:r>
        <w:rPr>
          <w:rFonts w:ascii="Times New Roman Regular" w:hAnsi="Times New Roman Regular" w:cs="Times New Roman Regular"/>
        </w:rPr>
        <w:t>” The main learning objectives of this curriculum are: (1) Children can understand and master CT concepts, including hardware/software, algorithms, modularity, debugging, representation, and so on; (2) Children can master the symbolic representations of basic programming blocks through study and practice: move forward, move backward, turn left, turn right, numbers, loop, and so on; (3) Children can combine different programming modules (motion, numbers, and loop) and use basic CT concepts to solve problems; and (4) Children can experience the fun of robot programming.</w:t>
      </w:r>
    </w:p>
    <w:p w14:paraId="2D725209">
      <w:pPr>
        <w:adjustRightInd w:val="0"/>
        <w:snapToGrid w:val="0"/>
        <w:spacing w:line="360" w:lineRule="auto"/>
        <w:ind w:firstLine="480" w:firstLineChars="200"/>
        <w:jc w:val="both"/>
        <w:rPr>
          <w:rFonts w:ascii="Times New Roman Regular" w:hAnsi="Times New Roman Regular" w:cs="Times New Roman Regular"/>
          <w:color w:val="C00000"/>
          <w:lang w:eastAsia="zh-CN"/>
        </w:rPr>
      </w:pPr>
      <w:r>
        <w:rPr>
          <w:rFonts w:hint="eastAsia" w:ascii="Times New Roman Regular" w:hAnsi="Times New Roman Regular" w:cs="Times New Roman Regular"/>
          <w:color w:val="C00000"/>
        </w:rPr>
        <w:t xml:space="preserve">This robot programming curriculum was systematically developed based on the CT framework for young children by Bers (2018). </w:t>
      </w:r>
      <w:r>
        <w:rPr>
          <w:rFonts w:hint="eastAsia" w:ascii="Times New Roman Regular" w:hAnsi="Times New Roman Regular" w:cs="Times New Roman Regular"/>
          <w:color w:val="C00000"/>
          <w:lang w:eastAsia="zh-CN"/>
        </w:rPr>
        <w:t>P</w:t>
      </w:r>
      <w:r>
        <w:rPr>
          <w:rFonts w:hint="eastAsia" w:ascii="Times New Roman Regular" w:hAnsi="Times New Roman Regular" w:cs="Times New Roman Regular"/>
          <w:color w:val="C00000"/>
        </w:rPr>
        <w:t>revious studies</w:t>
      </w:r>
      <w:r>
        <w:rPr>
          <w:rFonts w:hint="eastAsia" w:ascii="Times New Roman Regular" w:hAnsi="Times New Roman Regular" w:cs="Times New Roman Regular"/>
          <w:color w:val="C00000"/>
          <w:lang w:eastAsia="zh-CN"/>
        </w:rPr>
        <w:t xml:space="preserve"> mentioned</w:t>
      </w:r>
      <w:r>
        <w:rPr>
          <w:rFonts w:hint="eastAsia" w:ascii="Times New Roman Regular" w:hAnsi="Times New Roman Regular" w:cs="Times New Roman Regular"/>
          <w:color w:val="C00000"/>
        </w:rPr>
        <w:t xml:space="preserve"> </w:t>
      </w:r>
      <w:r>
        <w:rPr>
          <w:rFonts w:ascii="Times New Roman Regular" w:hAnsi="Times New Roman Regular" w:cs="Times New Roman Regular"/>
          <w:color w:val="C00000"/>
        </w:rPr>
        <w:t xml:space="preserve">that </w:t>
      </w:r>
      <w:r>
        <w:rPr>
          <w:rFonts w:hint="eastAsia" w:ascii="Times New Roman Regular" w:hAnsi="Times New Roman Regular" w:cs="Times New Roman Regular"/>
          <w:color w:val="C00000"/>
        </w:rPr>
        <w:t xml:space="preserve">young children generally have challenges in grasping some abstract CT concepts, such as </w:t>
      </w:r>
      <w:r>
        <w:rPr>
          <w:rFonts w:hint="eastAsia" w:ascii="Times New Roman Regular" w:hAnsi="Times New Roman Regular" w:cs="Times New Roman Regular"/>
          <w:color w:val="C00000"/>
          <w:lang w:eastAsia="zh-CN"/>
        </w:rPr>
        <w:t>algorithms/sequence</w:t>
      </w:r>
      <w:r>
        <w:rPr>
          <w:rFonts w:hint="eastAsia" w:ascii="Times New Roman Regular" w:hAnsi="Times New Roman Regular" w:cs="Times New Roman Regular"/>
          <w:color w:val="C00000"/>
        </w:rPr>
        <w:t xml:space="preserve">, representation, loops, and debugging, while other concepts can be grasped under the conventional context of robot programming learning (Bers et al., 2014; Critten et al., 2021; Kwon et al., 2022; Relkin et al., 2021; Rijke et al., 2018). Hence, we developed the MRP approach to teach concepts of </w:t>
      </w:r>
      <w:r>
        <w:rPr>
          <w:rFonts w:hint="eastAsia" w:ascii="Times New Roman Regular" w:hAnsi="Times New Roman Regular" w:cs="Times New Roman Regular"/>
          <w:color w:val="C00000"/>
          <w:lang w:eastAsia="zh-CN"/>
        </w:rPr>
        <w:t>algorithms/sequence</w:t>
      </w:r>
      <w:r>
        <w:rPr>
          <w:rFonts w:hint="eastAsia" w:ascii="Times New Roman Regular" w:hAnsi="Times New Roman Regular" w:cs="Times New Roman Regular"/>
          <w:color w:val="C00000"/>
        </w:rPr>
        <w:t>, representation, loops (</w:t>
      </w:r>
      <w:r>
        <w:rPr>
          <w:rFonts w:hint="eastAsia" w:ascii="Times New Roman Regular" w:hAnsi="Times New Roman Regular" w:cs="Times New Roman Regular"/>
          <w:color w:val="C00000"/>
          <w:lang w:eastAsia="zh-CN"/>
        </w:rPr>
        <w:t xml:space="preserve">associated with </w:t>
      </w:r>
      <w:r>
        <w:rPr>
          <w:rFonts w:hint="eastAsia" w:ascii="Times New Roman Regular" w:hAnsi="Times New Roman Regular" w:cs="Times New Roman Regular"/>
          <w:color w:val="C00000"/>
        </w:rPr>
        <w:t>control structure), and debugging.</w:t>
      </w:r>
      <w:r>
        <w:rPr>
          <w:rFonts w:hint="eastAsia" w:ascii="Times New Roman Regular" w:hAnsi="Times New Roman Regular" w:cs="Times New Roman Regular"/>
          <w:color w:val="C00000"/>
          <w:lang w:eastAsia="zh-CN"/>
        </w:rPr>
        <w:t xml:space="preserve"> The specifics will be described in the following section.</w:t>
      </w:r>
    </w:p>
    <w:p w14:paraId="0B067D73">
      <w:pPr>
        <w:adjustRightInd w:val="0"/>
        <w:snapToGrid w:val="0"/>
        <w:spacing w:line="360" w:lineRule="auto"/>
        <w:jc w:val="both"/>
        <w:rPr>
          <w:rFonts w:ascii="Times New Roman Regular" w:hAnsi="Times New Roman Regular" w:cs="Times New Roman Regular"/>
        </w:rPr>
      </w:pPr>
    </w:p>
    <w:p w14:paraId="3A9D7D21">
      <w:pPr>
        <w:pStyle w:val="20"/>
        <w:adjustRightInd w:val="0"/>
        <w:snapToGrid w:val="0"/>
        <w:spacing w:line="360" w:lineRule="auto"/>
        <w:ind w:left="360" w:leftChars="0" w:hanging="360"/>
        <w:jc w:val="both"/>
        <w:rPr>
          <w:rFonts w:ascii="Times New Roman" w:hAnsi="Times New Roman" w:cs="Times New Roman"/>
          <w:b/>
        </w:rPr>
      </w:pPr>
      <w:r>
        <w:rPr>
          <w:rFonts w:ascii="Times New Roman" w:hAnsi="Times New Roman" w:cs="Times New Roman"/>
          <w:b/>
        </w:rPr>
        <w:t>3.3 The teaching process of the MRP approach</w:t>
      </w:r>
    </w:p>
    <w:p w14:paraId="791081EA">
      <w:pPr>
        <w:adjustRightInd w:val="0"/>
        <w:snapToGrid w:val="0"/>
        <w:spacing w:line="360" w:lineRule="auto"/>
        <w:ind w:firstLine="480" w:firstLineChars="200"/>
        <w:jc w:val="both"/>
        <w:rPr>
          <w:rFonts w:ascii="Times New Roman" w:hAnsi="Times New Roman" w:eastAsia="PMingLiU" w:cs="Times New Roman"/>
        </w:rPr>
      </w:pPr>
      <w:r>
        <w:rPr>
          <w:rFonts w:hint="eastAsia" w:ascii="Times New Roman" w:hAnsi="Times New Roman" w:cs="Times New Roman"/>
        </w:rPr>
        <w:t xml:space="preserve">In this study, a metaphor-based robot programming (MRP) approach was proposed based on previous representative literature (e.g., Bers et al., 2019; </w:t>
      </w:r>
      <w:r>
        <w:rPr>
          <w:rFonts w:ascii="Times New Roman" w:hAnsi="Times New Roman" w:cs="Times New Roman"/>
        </w:rPr>
        <w:t>P</w:t>
      </w:r>
      <w:r>
        <w:rPr>
          <w:rFonts w:hint="eastAsia" w:ascii="Times New Roman" w:hAnsi="Times New Roman" w:cs="Times New Roman"/>
        </w:rPr>
        <w:t>é</w:t>
      </w:r>
      <w:r>
        <w:rPr>
          <w:rFonts w:ascii="Times New Roman" w:hAnsi="Times New Roman" w:cs="Times New Roman"/>
        </w:rPr>
        <w:t>rez-Mar</w:t>
      </w:r>
      <w:r>
        <w:rPr>
          <w:rFonts w:hint="eastAsia" w:ascii="Times New Roman" w:hAnsi="Times New Roman" w:cs="Times New Roman"/>
        </w:rPr>
        <w:t>í</w:t>
      </w:r>
      <w:r>
        <w:rPr>
          <w:rFonts w:ascii="Times New Roman" w:hAnsi="Times New Roman" w:cs="Times New Roman"/>
        </w:rPr>
        <w:t>n et</w:t>
      </w:r>
      <w:r>
        <w:rPr>
          <w:rFonts w:hint="eastAsia" w:ascii="Times New Roman" w:hAnsi="Times New Roman" w:cs="Times New Roman"/>
        </w:rPr>
        <w:t xml:space="preserve"> al., 2020; Saban, 2006), which mainly consists of six phases: (1) design events and activities of source domains based on target domains; (2) introduce events and activities of source domains; (3) interpret target domains through source domains; (4) introduce programming blocks related to target domains; (5) assign robot programming tasks specific to target domains;</w:t>
      </w:r>
      <w:r>
        <w:rPr>
          <w:rFonts w:ascii="Times New Roman" w:hAnsi="Times New Roman" w:cs="Times New Roman"/>
        </w:rPr>
        <w:t xml:space="preserve"> and</w:t>
      </w:r>
      <w:r>
        <w:rPr>
          <w:rFonts w:hint="eastAsia" w:ascii="Times New Roman" w:hAnsi="Times New Roman" w:cs="Times New Roman"/>
        </w:rPr>
        <w:t xml:space="preserve"> (6) share and reflect. The teaching process of the MRP approach is shown in Fig</w:t>
      </w:r>
      <w:r>
        <w:rPr>
          <w:rFonts w:ascii="Times New Roman" w:hAnsi="Times New Roman" w:cs="Times New Roman"/>
        </w:rPr>
        <w:t>.</w:t>
      </w:r>
      <w:r>
        <w:rPr>
          <w:rFonts w:hint="eastAsia" w:ascii="Times New Roman" w:hAnsi="Times New Roman" w:cs="Times New Roman"/>
        </w:rPr>
        <w:t xml:space="preserve"> 2 and is illustrated with cases as follows:</w:t>
      </w:r>
    </w:p>
    <w:p w14:paraId="394D4DC3">
      <w:pPr>
        <w:pStyle w:val="20"/>
        <w:adjustRightInd w:val="0"/>
        <w:snapToGrid w:val="0"/>
        <w:spacing w:line="360" w:lineRule="auto"/>
        <w:ind w:left="0" w:leftChars="0" w:firstLine="480" w:firstLineChars="200"/>
        <w:jc w:val="both"/>
        <w:rPr>
          <w:rFonts w:ascii="Times New Roman" w:hAnsi="Times New Roman" w:cs="Times New Roman"/>
        </w:rPr>
      </w:pPr>
    </w:p>
    <w:p w14:paraId="01254296">
      <w:pPr>
        <w:spacing w:line="360" w:lineRule="auto"/>
        <w:jc w:val="center"/>
        <w:rPr>
          <w:rFonts w:ascii="Times New Roman" w:hAnsi="Times New Roman" w:eastAsia="PMingLiU" w:cs="Times New Roman"/>
          <w:color w:val="FF0000"/>
          <w:lang w:eastAsia="zh-CN"/>
        </w:rPr>
      </w:pPr>
      <w:r>
        <w:rPr>
          <w:rFonts w:ascii="Times New Roman" w:hAnsi="Times New Roman" w:eastAsia="PMingLiU" w:cs="Times New Roman"/>
          <w:color w:val="FF0000"/>
          <w:lang w:eastAsia="zh-CN"/>
        </w:rPr>
        <w:drawing>
          <wp:inline distT="0" distB="0" distL="114300" distR="114300">
            <wp:extent cx="6177915" cy="4092575"/>
            <wp:effectExtent l="0" t="0" r="19685" b="22225"/>
            <wp:docPr id="14" name="图片 14" descr="演示文稿1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演示文稿1_07"/>
                    <pic:cNvPicPr>
                      <a:picLocks noChangeAspect="1"/>
                    </pic:cNvPicPr>
                  </pic:nvPicPr>
                  <pic:blipFill>
                    <a:blip r:embed="rId5"/>
                    <a:stretch>
                      <a:fillRect/>
                    </a:stretch>
                  </pic:blipFill>
                  <pic:spPr>
                    <a:xfrm>
                      <a:off x="0" y="0"/>
                      <a:ext cx="6177915" cy="4092575"/>
                    </a:xfrm>
                    <a:prstGeom prst="rect">
                      <a:avLst/>
                    </a:prstGeom>
                  </pic:spPr>
                </pic:pic>
              </a:graphicData>
            </a:graphic>
          </wp:inline>
        </w:drawing>
      </w:r>
    </w:p>
    <w:p w14:paraId="60F358BE">
      <w:pPr>
        <w:widowControl/>
        <w:adjustRightInd w:val="0"/>
        <w:snapToGrid w:val="0"/>
        <w:spacing w:line="360" w:lineRule="auto"/>
        <w:jc w:val="center"/>
        <w:rPr>
          <w:rFonts w:ascii="Times New Roman" w:hAnsi="Times New Roman" w:eastAsia="PMingLiU" w:cs="Times New Roman"/>
          <w:kern w:val="0"/>
          <w:szCs w:val="24"/>
        </w:rPr>
      </w:pPr>
      <w:r>
        <w:rPr>
          <w:rFonts w:hint="eastAsia" w:ascii="Times New Roman" w:hAnsi="Times New Roman" w:eastAsia="PMingLiU" w:cs="Times New Roman"/>
          <w:kern w:val="0"/>
          <w:szCs w:val="24"/>
        </w:rPr>
        <w:t xml:space="preserve">Fig. </w:t>
      </w:r>
      <w:r>
        <w:rPr>
          <w:rFonts w:ascii="Times New Roman" w:hAnsi="Times New Roman" w:eastAsia="PMingLiU" w:cs="Times New Roman"/>
          <w:kern w:val="0"/>
          <w:szCs w:val="24"/>
        </w:rPr>
        <w:t xml:space="preserve">2 The </w:t>
      </w:r>
      <w:r>
        <w:rPr>
          <w:rFonts w:hint="eastAsia" w:ascii="Times New Roman" w:hAnsi="Times New Roman" w:eastAsia="PMingLiU" w:cs="Times New Roman"/>
          <w:kern w:val="0"/>
          <w:szCs w:val="24"/>
        </w:rPr>
        <w:t>teaching</w:t>
      </w:r>
      <w:r>
        <w:rPr>
          <w:rFonts w:ascii="Times New Roman" w:hAnsi="Times New Roman" w:eastAsia="PMingLiU" w:cs="Times New Roman"/>
          <w:kern w:val="0"/>
          <w:szCs w:val="24"/>
        </w:rPr>
        <w:t xml:space="preserve"> process of the MRP approach </w:t>
      </w:r>
    </w:p>
    <w:p w14:paraId="18D5606B">
      <w:pPr>
        <w:widowControl/>
        <w:adjustRightInd w:val="0"/>
        <w:snapToGrid w:val="0"/>
        <w:spacing w:line="360" w:lineRule="auto"/>
        <w:jc w:val="both"/>
        <w:rPr>
          <w:rFonts w:ascii="Times New Roman" w:hAnsi="Times New Roman" w:eastAsia="PMingLiU" w:cs="Times New Roman"/>
          <w:kern w:val="0"/>
          <w:szCs w:val="24"/>
        </w:rPr>
      </w:pPr>
    </w:p>
    <w:p w14:paraId="4D3FC78A">
      <w:pPr>
        <w:widowControl/>
        <w:adjustRightInd w:val="0"/>
        <w:snapToGrid w:val="0"/>
        <w:spacing w:line="360" w:lineRule="auto"/>
        <w:ind w:firstLine="480"/>
        <w:jc w:val="both"/>
        <w:rPr>
          <w:rFonts w:ascii="Times New Roman Regular" w:hAnsi="Times New Roman Regular" w:cs="Times New Roman Regular"/>
          <w:lang w:eastAsia="zh-CN"/>
        </w:rPr>
      </w:pPr>
      <w:r>
        <w:rPr>
          <w:rFonts w:ascii="Times New Roman Regular" w:hAnsi="Times New Roman Regular" w:cs="Times New Roman Regular"/>
        </w:rPr>
        <w:t>The first phase is designing events and activities of source domains based on target domains. Metaphors involve the target domain and the source domain, where the source domain is the projection of the target domain (MacCormac, 1990; Saban, 2006). In this phase, the teacher determines abstract CT concepts (target domains) involved in robot programming learning and designs appropriate and learner-centered source domain events and activities specific to the features of target CT concepts. The design principle of the source domain should be learner-centered, that is, it should either be closely linked with children’s daily life contexts or be associated with existing knowledge that they have learned and clearly understood (Angeli &amp; Giannakos, 2020; Manches et al., 2020; Peelle, 1983). In this study, a</w:t>
      </w:r>
      <w:r>
        <w:rPr>
          <w:rFonts w:ascii="Times New Roman Regular" w:hAnsi="Times New Roman Regular" w:cs="Times New Roman Regular"/>
          <w:lang w:val="en-GB"/>
        </w:rPr>
        <w:t xml:space="preserve">n expert </w:t>
      </w:r>
      <w:r>
        <w:rPr>
          <w:rFonts w:ascii="Times New Roman Regular" w:hAnsi="Times New Roman Regular" w:cs="Times New Roman Regular"/>
        </w:rPr>
        <w:t>panel</w:t>
      </w:r>
      <w:r>
        <w:rPr>
          <w:rFonts w:ascii="Times New Roman Regular" w:hAnsi="Times New Roman Regular" w:cs="Times New Roman Regular"/>
          <w:lang w:val="en-GB"/>
        </w:rPr>
        <w:t xml:space="preserve"> </w:t>
      </w:r>
      <w:r>
        <w:rPr>
          <w:rFonts w:ascii="Times New Roman Regular" w:hAnsi="Times New Roman Regular" w:cs="Times New Roman Regular"/>
        </w:rPr>
        <w:t>including two</w:t>
      </w:r>
      <w:r>
        <w:rPr>
          <w:rFonts w:ascii="Times New Roman Regular" w:hAnsi="Times New Roman Regular" w:cs="Times New Roman Regular"/>
          <w:lang w:val="en-GB"/>
        </w:rPr>
        <w:t xml:space="preserve"> </w:t>
      </w:r>
      <w:r>
        <w:rPr>
          <w:rFonts w:ascii="Times New Roman Regular" w:hAnsi="Times New Roman Regular" w:cs="Times New Roman Regular"/>
        </w:rPr>
        <w:t>educational technology</w:t>
      </w:r>
      <w:r>
        <w:rPr>
          <w:rFonts w:ascii="Times New Roman Regular" w:hAnsi="Times New Roman Regular" w:cs="Times New Roman Regular"/>
          <w:lang w:val="en-GB"/>
        </w:rPr>
        <w:t xml:space="preserve"> researchers and </w:t>
      </w:r>
      <w:r>
        <w:rPr>
          <w:rFonts w:ascii="Times New Roman Regular" w:hAnsi="Times New Roman Regular" w:cs="Times New Roman Regular"/>
        </w:rPr>
        <w:t>two</w:t>
      </w:r>
      <w:r>
        <w:rPr>
          <w:rFonts w:ascii="Times New Roman Regular" w:hAnsi="Times New Roman Regular" w:cs="Times New Roman Regular"/>
          <w:lang w:val="en-GB"/>
        </w:rPr>
        <w:t xml:space="preserve"> </w:t>
      </w:r>
      <w:r>
        <w:rPr>
          <w:rFonts w:ascii="Times New Roman Regular" w:hAnsi="Times New Roman Regular" w:cs="Times New Roman Regular"/>
        </w:rPr>
        <w:t>experienced early childhood</w:t>
      </w:r>
      <w:r>
        <w:rPr>
          <w:rFonts w:ascii="Times New Roman Regular" w:hAnsi="Times New Roman Regular" w:cs="Times New Roman Regular"/>
          <w:lang w:val="en-GB"/>
        </w:rPr>
        <w:t xml:space="preserve"> </w:t>
      </w:r>
      <w:r>
        <w:rPr>
          <w:rFonts w:ascii="Times New Roman Regular" w:hAnsi="Times New Roman Regular" w:cs="Times New Roman Regular"/>
        </w:rPr>
        <w:t xml:space="preserve">STEM </w:t>
      </w:r>
      <w:r>
        <w:rPr>
          <w:rFonts w:ascii="Times New Roman Regular" w:hAnsi="Times New Roman Regular" w:cs="Times New Roman Regular"/>
          <w:lang w:val="en-GB"/>
        </w:rPr>
        <w:t>teachers was assembled</w:t>
      </w:r>
      <w:r>
        <w:rPr>
          <w:rFonts w:ascii="Times New Roman Regular" w:hAnsi="Times New Roman Regular" w:cs="Times New Roman Regular"/>
        </w:rPr>
        <w:t xml:space="preserve"> to </w:t>
      </w:r>
      <w:r>
        <w:rPr>
          <w:rFonts w:ascii="Times New Roman Regular" w:hAnsi="Times New Roman Regular" w:cs="Times New Roman Regular"/>
          <w:lang w:val="en-GB"/>
        </w:rPr>
        <w:t>discuss</w:t>
      </w:r>
      <w:r>
        <w:rPr>
          <w:rFonts w:ascii="Times New Roman Regular" w:hAnsi="Times New Roman Regular" w:cs="Times New Roman Regular"/>
        </w:rPr>
        <w:t xml:space="preserve"> and decide</w:t>
      </w:r>
      <w:r>
        <w:rPr>
          <w:rFonts w:ascii="Times New Roman Regular" w:hAnsi="Times New Roman Regular" w:cs="Times New Roman Regular"/>
          <w:lang w:val="en-GB"/>
        </w:rPr>
        <w:t xml:space="preserve"> </w:t>
      </w:r>
      <w:r>
        <w:rPr>
          <w:rFonts w:ascii="Times New Roman Regular" w:hAnsi="Times New Roman Regular" w:cs="Times New Roman Regular"/>
        </w:rPr>
        <w:t xml:space="preserve">on </w:t>
      </w:r>
      <w:r>
        <w:rPr>
          <w:rFonts w:ascii="Times New Roman Regular" w:hAnsi="Times New Roman Regular" w:cs="Times New Roman Regular"/>
          <w:lang w:val="en-GB"/>
        </w:rPr>
        <w:t xml:space="preserve">the </w:t>
      </w:r>
      <w:r>
        <w:rPr>
          <w:rFonts w:ascii="Times New Roman Regular" w:hAnsi="Times New Roman Regular" w:cs="Times New Roman Regular"/>
        </w:rPr>
        <w:t>events and</w:t>
      </w:r>
      <w:r>
        <w:rPr>
          <w:rFonts w:ascii="Times New Roman Regular" w:hAnsi="Times New Roman Regular" w:cs="Times New Roman Regular"/>
          <w:lang w:val="en-GB"/>
        </w:rPr>
        <w:t xml:space="preserve"> supporting activities of th</w:t>
      </w:r>
      <w:r>
        <w:rPr>
          <w:rFonts w:ascii="Times New Roman Regular" w:hAnsi="Times New Roman Regular" w:cs="Times New Roman Regular"/>
        </w:rPr>
        <w:t>e source domains. Table 1 displays the overview of the target domains and source domains designed in this study.</w:t>
      </w:r>
      <w:r>
        <w:rPr>
          <w:rFonts w:hint="eastAsia" w:ascii="Times New Roman Regular" w:hAnsi="Times New Roman Regular" w:cs="Times New Roman Regular"/>
          <w:lang w:eastAsia="zh-CN"/>
        </w:rPr>
        <w:t xml:space="preserve"> </w:t>
      </w:r>
    </w:p>
    <w:p w14:paraId="5FB7A797">
      <w:pPr>
        <w:widowControl/>
        <w:adjustRightInd w:val="0"/>
        <w:snapToGrid w:val="0"/>
        <w:spacing w:line="360" w:lineRule="auto"/>
        <w:jc w:val="both"/>
        <w:rPr>
          <w:rFonts w:ascii="Times New Roman" w:hAnsi="Times New Roman" w:eastAsia="PMingLiU" w:cs="Times New Roman"/>
        </w:rPr>
      </w:pPr>
    </w:p>
    <w:p w14:paraId="225F4C51">
      <w:pPr>
        <w:spacing w:line="360" w:lineRule="auto"/>
        <w:rPr>
          <w:rFonts w:ascii="Times New Roman" w:hAnsi="Times New Roman" w:eastAsia="PMingLiU" w:cs="Times New Roman"/>
        </w:rPr>
      </w:pPr>
      <w:r>
        <w:rPr>
          <w:rFonts w:ascii="Times New Roman" w:hAnsi="Times New Roman" w:eastAsia="PMingLiU" w:cs="Times New Roman"/>
        </w:rPr>
        <w:t>Table 1. An</w:t>
      </w:r>
      <w:r>
        <w:rPr>
          <w:rFonts w:hint="eastAsia" w:ascii="Times New Roman" w:hAnsi="Times New Roman" w:eastAsia="PMingLiU" w:cs="Times New Roman"/>
        </w:rPr>
        <w:t xml:space="preserve"> overview of designed target domains and source domains in this study.</w:t>
      </w:r>
    </w:p>
    <w:tbl>
      <w:tblPr>
        <w:tblStyle w:val="10"/>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8"/>
        <w:gridCol w:w="5464"/>
      </w:tblGrid>
      <w:tr w14:paraId="2ADA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8" w:type="dxa"/>
            <w:tcBorders>
              <w:top w:val="single" w:color="auto" w:sz="12" w:space="0"/>
              <w:left w:val="nil"/>
              <w:right w:val="nil"/>
            </w:tcBorders>
          </w:tcPr>
          <w:p w14:paraId="429CA9F1">
            <w:pPr>
              <w:snapToGrid w:val="0"/>
              <w:jc w:val="center"/>
              <w:rPr>
                <w:rFonts w:ascii="Times New Roman" w:hAnsi="Times New Roman" w:eastAsia="PMingLiU" w:cs="Times New Roman"/>
              </w:rPr>
            </w:pPr>
            <w:r>
              <w:rPr>
                <w:rFonts w:hint="eastAsia" w:ascii="Times New Roman" w:hAnsi="Times New Roman" w:eastAsia="PMingLiU" w:cs="Times New Roman"/>
              </w:rPr>
              <w:t>Target domain</w:t>
            </w:r>
          </w:p>
        </w:tc>
        <w:tc>
          <w:tcPr>
            <w:tcW w:w="5464" w:type="dxa"/>
            <w:tcBorders>
              <w:top w:val="single" w:color="auto" w:sz="12" w:space="0"/>
              <w:left w:val="nil"/>
              <w:right w:val="nil"/>
            </w:tcBorders>
          </w:tcPr>
          <w:p w14:paraId="31DFC3A8">
            <w:pPr>
              <w:snapToGrid w:val="0"/>
              <w:jc w:val="center"/>
              <w:rPr>
                <w:rFonts w:ascii="Times New Roman" w:hAnsi="Times New Roman" w:eastAsia="PMingLiU" w:cs="Times New Roman"/>
              </w:rPr>
            </w:pPr>
            <w:r>
              <w:rPr>
                <w:rFonts w:hint="eastAsia" w:ascii="Times New Roman" w:hAnsi="Times New Roman" w:eastAsia="PMingLiU" w:cs="Times New Roman"/>
              </w:rPr>
              <w:t>Source domain</w:t>
            </w:r>
          </w:p>
        </w:tc>
      </w:tr>
      <w:tr w14:paraId="7622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8" w:type="dxa"/>
            <w:tcBorders>
              <w:top w:val="nil"/>
              <w:left w:val="nil"/>
              <w:bottom w:val="nil"/>
              <w:right w:val="nil"/>
            </w:tcBorders>
          </w:tcPr>
          <w:p w14:paraId="20AE9F98">
            <w:pPr>
              <w:snapToGrid w:val="0"/>
              <w:rPr>
                <w:rFonts w:ascii="Times New Roman" w:hAnsi="Times New Roman" w:eastAsia="PMingLiU" w:cs="Times New Roman"/>
              </w:rPr>
            </w:pPr>
            <w:r>
              <w:rPr>
                <w:rFonts w:hint="eastAsia" w:ascii="Times New Roman" w:hAnsi="Times New Roman" w:eastAsia="PMingLiU" w:cs="Times New Roman"/>
                <w:lang w:eastAsia="zh-CN"/>
              </w:rPr>
              <w:t>Algorithm/sequence</w:t>
            </w:r>
            <w:r>
              <w:rPr>
                <w:rFonts w:ascii="Times New Roman" w:hAnsi="Times New Roman" w:eastAsia="PMingLiU" w:cs="Times New Roman"/>
              </w:rPr>
              <w:t xml:space="preserve">: solving a problem </w:t>
            </w:r>
            <w:r>
              <w:rPr>
                <w:rFonts w:hint="eastAsia" w:ascii="Times New Roman" w:hAnsi="Times New Roman" w:eastAsia="PMingLiU" w:cs="Times New Roman"/>
                <w:lang w:eastAsia="zh-CN"/>
              </w:rPr>
              <w:t xml:space="preserve">logically with a series of sequential </w:t>
            </w:r>
            <w:r>
              <w:rPr>
                <w:rFonts w:ascii="Times New Roman" w:hAnsi="Times New Roman" w:eastAsia="PMingLiU" w:cs="Times New Roman"/>
              </w:rPr>
              <w:t>ste</w:t>
            </w:r>
            <w:r>
              <w:rPr>
                <w:rFonts w:hint="eastAsia" w:ascii="Times New Roman" w:hAnsi="Times New Roman" w:eastAsia="PMingLiU" w:cs="Times New Roman"/>
                <w:lang w:eastAsia="zh-CN"/>
              </w:rPr>
              <w:t xml:space="preserve">ps </w:t>
            </w:r>
            <w:r>
              <w:rPr>
                <w:rFonts w:ascii="Times New Roman" w:hAnsi="Times New Roman" w:eastAsia="PMingLiU" w:cs="Times New Roman"/>
              </w:rPr>
              <w:t>(Bers, 2018;</w:t>
            </w:r>
            <w:r>
              <w:rPr>
                <w:rFonts w:hint="eastAsia" w:eastAsia="PMingLiU" w:cs="Times New Roman"/>
                <w:lang w:eastAsia="zh-CN"/>
              </w:rPr>
              <w:t xml:space="preserve"> </w:t>
            </w:r>
            <w:r>
              <w:rPr>
                <w:rFonts w:ascii="Times New Roman" w:hAnsi="Times New Roman" w:eastAsia="PMingLiU" w:cs="Times New Roman"/>
              </w:rPr>
              <w:t>Brennan &amp; Resnick, 2012).</w:t>
            </w:r>
          </w:p>
          <w:p w14:paraId="0D6DF856">
            <w:pPr>
              <w:snapToGrid w:val="0"/>
              <w:rPr>
                <w:rFonts w:ascii="Times New Roman" w:hAnsi="Times New Roman" w:eastAsia="PMingLiU" w:cs="Times New Roman"/>
              </w:rPr>
            </w:pPr>
          </w:p>
        </w:tc>
        <w:tc>
          <w:tcPr>
            <w:tcW w:w="5464" w:type="dxa"/>
            <w:tcBorders>
              <w:top w:val="nil"/>
              <w:left w:val="nil"/>
              <w:bottom w:val="nil"/>
              <w:right w:val="nil"/>
            </w:tcBorders>
          </w:tcPr>
          <w:p w14:paraId="30A7EF95">
            <w:pPr>
              <w:snapToGrid w:val="0"/>
              <w:rPr>
                <w:rFonts w:ascii="Times New Roman" w:hAnsi="Times New Roman" w:eastAsia="PMingLiU" w:cs="Times New Roman"/>
              </w:rPr>
            </w:pPr>
            <w:r>
              <w:rPr>
                <w:rFonts w:ascii="Times New Roman" w:hAnsi="Times New Roman" w:eastAsia="PMingLiU" w:cs="Times New Roman"/>
              </w:rPr>
              <w:t>The steps of washing clothes: the concept</w:t>
            </w:r>
            <w:r>
              <w:rPr>
                <w:rFonts w:hint="eastAsia" w:ascii="Times New Roman" w:hAnsi="Times New Roman" w:eastAsia="PMingLiU" w:cs="Times New Roman"/>
                <w:lang w:eastAsia="zh-CN"/>
              </w:rPr>
              <w:t xml:space="preserve"> </w:t>
            </w:r>
            <w:r>
              <w:rPr>
                <w:rFonts w:ascii="Times New Roman" w:hAnsi="Times New Roman" w:eastAsia="PMingLiU" w:cs="Times New Roman"/>
              </w:rPr>
              <w:t xml:space="preserve">of </w:t>
            </w:r>
            <w:r>
              <w:rPr>
                <w:rFonts w:hint="eastAsia" w:ascii="Times New Roman" w:hAnsi="Times New Roman" w:eastAsia="PMingLiU" w:cs="Times New Roman"/>
                <w:lang w:eastAsia="zh-CN"/>
              </w:rPr>
              <w:t>algorithm/sequence</w:t>
            </w:r>
            <w:r>
              <w:rPr>
                <w:rFonts w:ascii="Times New Roman" w:hAnsi="Times New Roman" w:eastAsia="PMingLiU" w:cs="Times New Roman"/>
              </w:rPr>
              <w:t xml:space="preserve"> </w:t>
            </w:r>
            <w:r>
              <w:rPr>
                <w:rFonts w:hint="eastAsia" w:ascii="Times New Roman" w:hAnsi="Times New Roman" w:eastAsia="PMingLiU" w:cs="Times New Roman"/>
                <w:lang w:eastAsia="zh-CN"/>
              </w:rPr>
              <w:t>is</w:t>
            </w:r>
            <w:r>
              <w:rPr>
                <w:rFonts w:ascii="Times New Roman" w:hAnsi="Times New Roman" w:eastAsia="PMingLiU" w:cs="Times New Roman"/>
              </w:rPr>
              <w:t xml:space="preserve"> explained by “the steps of washing clothes” metaphor: a boy faced a big problem when he found his cloth</w:t>
            </w:r>
            <w:r>
              <w:rPr>
                <w:rFonts w:hint="eastAsia" w:ascii="Times New Roman" w:hAnsi="Times New Roman" w:eastAsia="PMingLiU" w:cs="Times New Roman"/>
                <w:lang w:eastAsia="zh-CN"/>
              </w:rPr>
              <w:t>es</w:t>
            </w:r>
            <w:r>
              <w:rPr>
                <w:rFonts w:ascii="Times New Roman" w:hAnsi="Times New Roman" w:eastAsia="PMingLiU" w:cs="Times New Roman"/>
              </w:rPr>
              <w:t xml:space="preserve"> got dirty </w:t>
            </w:r>
            <w:r>
              <w:rPr>
                <w:rFonts w:ascii="Times New Roman" w:hAnsi="Times New Roman" w:eastAsia="PMingLiU" w:cs="Times New Roman"/>
                <w:color w:val="C00000"/>
              </w:rPr>
              <w:t>after</w:t>
            </w:r>
            <w:r>
              <w:rPr>
                <w:rFonts w:ascii="Times New Roman" w:hAnsi="Times New Roman" w:eastAsia="PMingLiU" w:cs="Times New Roman"/>
              </w:rPr>
              <w:t xml:space="preserve"> playing football. So, he wanted to wash his dirty clothes. Does he wash them out of step? He should wash them step by step: take off his clothes, open the door of the washing machine, wait for </w:t>
            </w:r>
            <w:r>
              <w:rPr>
                <w:rFonts w:ascii="Times New Roman" w:hAnsi="Times New Roman" w:eastAsia="PMingLiU" w:cs="Times New Roman"/>
                <w:color w:val="C00000"/>
              </w:rPr>
              <w:t>some time</w:t>
            </w:r>
            <w:r>
              <w:rPr>
                <w:rFonts w:ascii="Times New Roman" w:hAnsi="Times New Roman" w:eastAsia="PMingLiU" w:cs="Times New Roman"/>
              </w:rPr>
              <w:t xml:space="preserve">, get the clean clothes... Just like the boy washes his clothes according to specific steps, </w:t>
            </w:r>
            <w:r>
              <w:rPr>
                <w:rFonts w:hint="eastAsia" w:ascii="Times New Roman" w:hAnsi="Times New Roman" w:eastAsia="PMingLiU" w:cs="Times New Roman"/>
                <w:lang w:eastAsia="zh-CN"/>
              </w:rPr>
              <w:t>the algorithm/</w:t>
            </w:r>
            <w:r>
              <w:rPr>
                <w:rFonts w:ascii="Times New Roman" w:hAnsi="Times New Roman" w:eastAsia="PMingLiU" w:cs="Times New Roman"/>
              </w:rPr>
              <w:t>sequence is to solve certain problems step by step</w:t>
            </w:r>
            <w:r>
              <w:rPr>
                <w:rFonts w:hint="eastAsia" w:ascii="Times New Roman" w:hAnsi="Times New Roman" w:eastAsia="PMingLiU" w:cs="Times New Roman"/>
                <w:lang w:eastAsia="zh-CN"/>
              </w:rPr>
              <w:t xml:space="preserve"> in a logical order</w:t>
            </w:r>
            <w:r>
              <w:rPr>
                <w:rFonts w:ascii="Times New Roman" w:hAnsi="Times New Roman" w:eastAsia="PMingLiU" w:cs="Times New Roman"/>
              </w:rPr>
              <w:t>.</w:t>
            </w:r>
          </w:p>
        </w:tc>
      </w:tr>
      <w:tr w14:paraId="3AA9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8" w:type="dxa"/>
            <w:tcBorders>
              <w:top w:val="nil"/>
              <w:left w:val="nil"/>
              <w:bottom w:val="nil"/>
              <w:right w:val="nil"/>
            </w:tcBorders>
          </w:tcPr>
          <w:p w14:paraId="2403EDDB">
            <w:pPr>
              <w:snapToGrid w:val="0"/>
              <w:rPr>
                <w:rFonts w:ascii="Times New Roman" w:hAnsi="Times New Roman" w:eastAsia="PMingLiU" w:cs="Times New Roman"/>
              </w:rPr>
            </w:pPr>
            <w:r>
              <w:rPr>
                <w:rFonts w:ascii="Times New Roman" w:hAnsi="Times New Roman" w:eastAsia="PMingLiU" w:cs="Times New Roman"/>
              </w:rPr>
              <w:t>Representation: understanding that symbols represent concepts, instructions, etc. (Bers, 2018; Relkin et al., 2021).</w:t>
            </w:r>
          </w:p>
        </w:tc>
        <w:tc>
          <w:tcPr>
            <w:tcW w:w="5464" w:type="dxa"/>
            <w:tcBorders>
              <w:top w:val="nil"/>
              <w:left w:val="nil"/>
              <w:bottom w:val="nil"/>
              <w:right w:val="nil"/>
            </w:tcBorders>
          </w:tcPr>
          <w:p w14:paraId="2A4003B6">
            <w:pPr>
              <w:snapToGrid w:val="0"/>
              <w:rPr>
                <w:rFonts w:ascii="Times New Roman" w:hAnsi="Times New Roman" w:eastAsia="PMingLiU" w:cs="Times New Roman"/>
              </w:rPr>
            </w:pPr>
            <w:r>
              <w:rPr>
                <w:rFonts w:ascii="Times New Roman" w:hAnsi="Times New Roman" w:eastAsia="PMingLiU" w:cs="Times New Roman"/>
              </w:rPr>
              <w:t xml:space="preserve">The commands of the traffic </w:t>
            </w:r>
            <w:r>
              <w:rPr>
                <w:rFonts w:hint="eastAsia" w:ascii="Times New Roman" w:hAnsi="Times New Roman" w:eastAsia="PMingLiU" w:cs="Times New Roman"/>
              </w:rPr>
              <w:t>lights</w:t>
            </w:r>
            <w:r>
              <w:rPr>
                <w:rFonts w:ascii="Times New Roman" w:hAnsi="Times New Roman" w:eastAsia="PMingLiU" w:cs="Times New Roman"/>
              </w:rPr>
              <w:t xml:space="preserve"> and signposts were used as a metaphor to teach the representation concept. When driving a car and meeting with the traffic </w:t>
            </w:r>
            <w:r>
              <w:rPr>
                <w:rFonts w:hint="eastAsia" w:ascii="Times New Roman" w:hAnsi="Times New Roman" w:eastAsia="PMingLiU" w:cs="Times New Roman"/>
              </w:rPr>
              <w:t>lights</w:t>
            </w:r>
            <w:r>
              <w:rPr>
                <w:rFonts w:hint="eastAsia" w:ascii="Times New Roman" w:hAnsi="Times New Roman" w:eastAsia="PMingLiU" w:cs="Times New Roman"/>
                <w:lang w:val="en-US" w:eastAsia="zh-CN"/>
              </w:rPr>
              <w:t>/</w:t>
            </w:r>
            <w:r>
              <w:rPr>
                <w:rFonts w:ascii="Times New Roman" w:hAnsi="Times New Roman" w:eastAsia="PMingLiU" w:cs="Times New Roman"/>
                <w:highlight w:val="none"/>
              </w:rPr>
              <w:t>signposts</w:t>
            </w:r>
            <w:r>
              <w:rPr>
                <w:rFonts w:ascii="Times New Roman" w:hAnsi="Times New Roman" w:eastAsia="PMingLiU" w:cs="Times New Roman"/>
              </w:rPr>
              <w:t xml:space="preserve"> on the road, the traffic </w:t>
            </w:r>
            <w:r>
              <w:rPr>
                <w:rFonts w:hint="eastAsia" w:ascii="Times New Roman" w:hAnsi="Times New Roman" w:eastAsia="PMingLiU" w:cs="Times New Roman"/>
              </w:rPr>
              <w:t>lights</w:t>
            </w:r>
            <w:r>
              <w:rPr>
                <w:rFonts w:hint="eastAsia" w:ascii="Times New Roman" w:hAnsi="Times New Roman" w:eastAsia="PMingLiU" w:cs="Times New Roman"/>
                <w:lang w:val="en-US" w:eastAsia="zh-CN"/>
              </w:rPr>
              <w:t>/</w:t>
            </w:r>
            <w:r>
              <w:rPr>
                <w:rFonts w:ascii="Times New Roman" w:hAnsi="Times New Roman" w:eastAsia="PMingLiU" w:cs="Times New Roman"/>
                <w:highlight w:val="none"/>
              </w:rPr>
              <w:t>signposts</w:t>
            </w:r>
            <w:r>
              <w:rPr>
                <w:rFonts w:hint="eastAsia" w:ascii="Times New Roman" w:hAnsi="Times New Roman" w:eastAsia="PMingLiU" w:cs="Times New Roman"/>
                <w:highlight w:val="none"/>
                <w:lang w:val="en-US" w:eastAsia="zh-CN"/>
              </w:rPr>
              <w:t xml:space="preserve"> </w:t>
            </w:r>
            <w:r>
              <w:rPr>
                <w:rFonts w:ascii="Times New Roman" w:hAnsi="Times New Roman" w:eastAsia="PMingLiU" w:cs="Times New Roman"/>
              </w:rPr>
              <w:t xml:space="preserve">will </w:t>
            </w:r>
            <w:r>
              <w:rPr>
                <w:rFonts w:hint="eastAsia" w:ascii="Times New Roman" w:hAnsi="Times New Roman" w:eastAsia="PMingLiU" w:cs="Times New Roman"/>
              </w:rPr>
              <w:t>express signals</w:t>
            </w:r>
            <w:r>
              <w:rPr>
                <w:rFonts w:hint="eastAsia" w:ascii="Times New Roman" w:hAnsi="Times New Roman" w:eastAsia="PMingLiU" w:cs="Times New Roman"/>
                <w:lang w:val="en-US" w:eastAsia="zh-CN"/>
              </w:rPr>
              <w:t xml:space="preserve"> or instructions</w:t>
            </w:r>
            <w:r>
              <w:rPr>
                <w:rFonts w:ascii="Times New Roman" w:hAnsi="Times New Roman" w:eastAsia="PMingLiU" w:cs="Times New Roman"/>
              </w:rPr>
              <w:t xml:space="preserve"> to us. Each </w:t>
            </w:r>
            <w:r>
              <w:rPr>
                <w:rFonts w:hint="eastAsia" w:ascii="Times New Roman" w:hAnsi="Times New Roman" w:eastAsia="PMingLiU" w:cs="Times New Roman"/>
              </w:rPr>
              <w:t>signal</w:t>
            </w:r>
            <w:r>
              <w:rPr>
                <w:rFonts w:ascii="Times New Roman" w:hAnsi="Times New Roman" w:eastAsia="PMingLiU" w:cs="Times New Roman"/>
              </w:rPr>
              <w:t xml:space="preserve"> </w:t>
            </w:r>
            <w:r>
              <w:rPr>
                <w:rFonts w:hint="eastAsia" w:ascii="Times New Roman" w:hAnsi="Times New Roman" w:eastAsia="PMingLiU" w:cs="Times New Roman"/>
                <w:lang w:val="en-US" w:eastAsia="zh-CN"/>
              </w:rPr>
              <w:t xml:space="preserve">or instruction </w:t>
            </w:r>
            <w:r>
              <w:rPr>
                <w:rFonts w:ascii="Times New Roman" w:hAnsi="Times New Roman" w:eastAsia="PMingLiU" w:cs="Times New Roman"/>
              </w:rPr>
              <w:t>represents a specific command.</w:t>
            </w:r>
            <w:r>
              <w:rPr>
                <w:rFonts w:hint="eastAsia" w:ascii="Times New Roman" w:hAnsi="Times New Roman" w:eastAsia="PMingLiU" w:cs="Times New Roman"/>
                <w:lang w:val="en-US" w:eastAsia="zh-CN"/>
              </w:rPr>
              <w:t xml:space="preserve"> </w:t>
            </w:r>
            <w:r>
              <w:rPr>
                <w:rFonts w:ascii="Times New Roman" w:hAnsi="Times New Roman" w:eastAsia="PMingLiU" w:cs="Times New Roman"/>
              </w:rPr>
              <w:t xml:space="preserve">We need to recognize the commands of the traffic </w:t>
            </w:r>
            <w:r>
              <w:rPr>
                <w:rFonts w:hint="eastAsia" w:ascii="Times New Roman" w:hAnsi="Times New Roman" w:eastAsia="PMingLiU" w:cs="Times New Roman"/>
              </w:rPr>
              <w:t>lights</w:t>
            </w:r>
            <w:r>
              <w:rPr>
                <w:rFonts w:hint="eastAsia" w:ascii="Times New Roman" w:hAnsi="Times New Roman" w:eastAsia="PMingLiU" w:cs="Times New Roman"/>
                <w:lang w:val="en-US" w:eastAsia="zh-CN"/>
              </w:rPr>
              <w:t>/</w:t>
            </w:r>
            <w:r>
              <w:rPr>
                <w:rFonts w:ascii="Times New Roman" w:hAnsi="Times New Roman" w:eastAsia="PMingLiU" w:cs="Times New Roman"/>
                <w:highlight w:val="none"/>
              </w:rPr>
              <w:t>signposts</w:t>
            </w:r>
            <w:r>
              <w:rPr>
                <w:rFonts w:ascii="Times New Roman" w:hAnsi="Times New Roman" w:eastAsia="PMingLiU" w:cs="Times New Roman"/>
              </w:rPr>
              <w:t>, such as stop, move forward, turn left, and turn right, and then follow the</w:t>
            </w:r>
            <w:r>
              <w:rPr>
                <w:rFonts w:hint="eastAsia" w:ascii="Times New Roman" w:hAnsi="Times New Roman" w:eastAsia="PMingLiU" w:cs="Times New Roman"/>
                <w:lang w:val="en-US" w:eastAsia="zh-CN"/>
              </w:rPr>
              <w:t xml:space="preserve"> </w:t>
            </w:r>
            <w:r>
              <w:rPr>
                <w:rFonts w:ascii="Times New Roman" w:hAnsi="Times New Roman" w:eastAsia="PMingLiU" w:cs="Times New Roman"/>
              </w:rPr>
              <w:t xml:space="preserve">commands. </w:t>
            </w:r>
            <w:r>
              <w:rPr>
                <w:rFonts w:hint="eastAsia" w:ascii="Times New Roman" w:hAnsi="Times New Roman" w:eastAsia="PMingLiU" w:cs="Times New Roman"/>
                <w:highlight w:val="none"/>
              </w:rPr>
              <w:t>Likewise, when we meet with instructions in the program, we need to recognize the specific commands or</w:t>
            </w:r>
            <w:r>
              <w:rPr>
                <w:rFonts w:hint="eastAsia" w:ascii="Times New Roman" w:hAnsi="Times New Roman" w:eastAsia="PMingLiU" w:cs="Times New Roman"/>
                <w:highlight w:val="none"/>
                <w:lang w:val="en-US" w:eastAsia="zh-CN"/>
              </w:rPr>
              <w:t xml:space="preserve"> </w:t>
            </w:r>
            <w:r>
              <w:rPr>
                <w:rFonts w:hint="eastAsia" w:ascii="Times New Roman" w:hAnsi="Times New Roman" w:eastAsia="PMingLiU" w:cs="Times New Roman"/>
                <w:highlight w:val="none"/>
              </w:rPr>
              <w:t xml:space="preserve">actions and follow them. </w:t>
            </w:r>
          </w:p>
        </w:tc>
      </w:tr>
      <w:tr w14:paraId="4626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748" w:type="dxa"/>
            <w:tcBorders>
              <w:top w:val="nil"/>
              <w:left w:val="nil"/>
              <w:bottom w:val="nil"/>
              <w:right w:val="nil"/>
            </w:tcBorders>
          </w:tcPr>
          <w:p w14:paraId="511CA1FD">
            <w:pPr>
              <w:snapToGrid w:val="0"/>
              <w:rPr>
                <w:rFonts w:ascii="Times New Roman" w:hAnsi="Times New Roman" w:eastAsia="PMingLiU" w:cs="Times New Roman"/>
              </w:rPr>
            </w:pPr>
            <w:r>
              <w:rPr>
                <w:rFonts w:ascii="Times New Roman" w:hAnsi="Times New Roman" w:eastAsia="PMingLiU" w:cs="Times New Roman"/>
              </w:rPr>
              <w:t xml:space="preserve">Loop: </w:t>
            </w:r>
            <w:r>
              <w:rPr>
                <w:rFonts w:hint="eastAsia" w:ascii="Times New Roman" w:hAnsi="Times New Roman" w:eastAsia="PMingLiU" w:cs="Times New Roman"/>
                <w:lang w:eastAsia="zh-CN"/>
              </w:rPr>
              <w:t>an associated concept of control structure</w:t>
            </w:r>
            <w:r>
              <w:rPr>
                <w:rFonts w:ascii="Times New Roman" w:hAnsi="Times New Roman" w:eastAsia="PMingLiU" w:cs="Times New Roman"/>
                <w:lang w:eastAsia="zh-CN"/>
              </w:rPr>
              <w:t xml:space="preserve"> that</w:t>
            </w:r>
            <w:r>
              <w:rPr>
                <w:rFonts w:hint="eastAsia" w:ascii="Times New Roman" w:hAnsi="Times New Roman" w:eastAsia="PMingLiU" w:cs="Times New Roman"/>
                <w:lang w:eastAsia="zh-CN"/>
              </w:rPr>
              <w:t xml:space="preserve"> refers to </w:t>
            </w:r>
            <w:r>
              <w:rPr>
                <w:rFonts w:ascii="Times New Roman" w:hAnsi="Times New Roman" w:eastAsia="PMingLiU" w:cs="Times New Roman"/>
              </w:rPr>
              <w:t>repeating the same instruction multiple times until a condition is reached, sometimes equal to repeat (Bers, 2018;</w:t>
            </w:r>
            <w:r>
              <w:rPr>
                <w:rFonts w:hint="eastAsia" w:eastAsia="PMingLiU" w:cs="Times New Roman"/>
                <w:lang w:eastAsia="zh-CN"/>
              </w:rPr>
              <w:t xml:space="preserve"> </w:t>
            </w:r>
            <w:r>
              <w:rPr>
                <w:rFonts w:ascii="Times New Roman" w:hAnsi="Times New Roman" w:eastAsia="PMingLiU" w:cs="Times New Roman"/>
              </w:rPr>
              <w:t>Brennan &amp; Resnick, 2012).</w:t>
            </w:r>
          </w:p>
          <w:p w14:paraId="4ED2FE90">
            <w:pPr>
              <w:snapToGrid w:val="0"/>
              <w:rPr>
                <w:rFonts w:ascii="Times New Roman" w:hAnsi="Times New Roman" w:eastAsia="PMingLiU" w:cs="Times New Roman"/>
              </w:rPr>
            </w:pPr>
          </w:p>
        </w:tc>
        <w:tc>
          <w:tcPr>
            <w:tcW w:w="5464" w:type="dxa"/>
            <w:tcBorders>
              <w:top w:val="nil"/>
              <w:left w:val="nil"/>
              <w:bottom w:val="nil"/>
              <w:right w:val="nil"/>
            </w:tcBorders>
          </w:tcPr>
          <w:p w14:paraId="66B021E8">
            <w:pPr>
              <w:snapToGrid w:val="0"/>
              <w:rPr>
                <w:rFonts w:ascii="Times New Roman" w:hAnsi="Times New Roman" w:eastAsia="PMingLiU" w:cs="Times New Roman"/>
              </w:rPr>
            </w:pPr>
            <w:r>
              <w:rPr>
                <w:rFonts w:ascii="Times New Roman" w:hAnsi="Times New Roman" w:eastAsia="PMingLiU" w:cs="Times New Roman"/>
              </w:rPr>
              <w:t>A carousel was selected as a metaphor to explain the concept of loops: when we take the carousel at the theme park, it will rotate again and again; for example, it will not stop until a condition of 20 times is reached. Likewise, the loop repeats the same command over and over again until a condition is fulfilled.</w:t>
            </w:r>
          </w:p>
        </w:tc>
      </w:tr>
      <w:tr w14:paraId="3C80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48" w:type="dxa"/>
            <w:tcBorders>
              <w:top w:val="nil"/>
              <w:left w:val="nil"/>
              <w:bottom w:val="single" w:color="auto" w:sz="12" w:space="0"/>
              <w:right w:val="nil"/>
            </w:tcBorders>
          </w:tcPr>
          <w:p w14:paraId="2AB157E1">
            <w:pPr>
              <w:snapToGrid w:val="0"/>
              <w:rPr>
                <w:rFonts w:ascii="Times New Roman" w:hAnsi="Times New Roman" w:eastAsia="PMingLiU" w:cs="Times New Roman"/>
                <w:lang w:eastAsia="zh-CN"/>
              </w:rPr>
            </w:pPr>
            <w:r>
              <w:rPr>
                <w:rFonts w:ascii="Times New Roman" w:hAnsi="Times New Roman" w:eastAsia="PMingLiU" w:cs="Times New Roman"/>
              </w:rPr>
              <w:t>Debugging: recognize the wrong part and try to solve and fix it (Bers, 2018; Relkin et al., 2021)</w:t>
            </w:r>
            <w:r>
              <w:rPr>
                <w:rFonts w:hint="eastAsia" w:ascii="Times New Roman" w:hAnsi="Times New Roman" w:eastAsia="PMingLiU" w:cs="Times New Roman"/>
                <w:lang w:eastAsia="zh-CN"/>
              </w:rPr>
              <w:t>.</w:t>
            </w:r>
          </w:p>
          <w:p w14:paraId="24E78545">
            <w:pPr>
              <w:snapToGrid w:val="0"/>
              <w:rPr>
                <w:rFonts w:ascii="Times New Roman" w:hAnsi="Times New Roman" w:eastAsia="PMingLiU" w:cs="Times New Roman"/>
              </w:rPr>
            </w:pPr>
          </w:p>
        </w:tc>
        <w:tc>
          <w:tcPr>
            <w:tcW w:w="5464" w:type="dxa"/>
            <w:tcBorders>
              <w:top w:val="nil"/>
              <w:left w:val="nil"/>
              <w:bottom w:val="single" w:color="auto" w:sz="12" w:space="0"/>
              <w:right w:val="nil"/>
            </w:tcBorders>
          </w:tcPr>
          <w:p w14:paraId="4C435688">
            <w:pPr>
              <w:snapToGrid w:val="0"/>
              <w:rPr>
                <w:rFonts w:ascii="Times New Roman" w:hAnsi="Times New Roman" w:eastAsia="PMingLiU" w:cs="Times New Roman"/>
              </w:rPr>
            </w:pPr>
            <w:r>
              <w:rPr>
                <w:rFonts w:ascii="Times New Roman" w:hAnsi="Times New Roman" w:eastAsia="PMingLiU" w:cs="Times New Roman"/>
              </w:rPr>
              <w:t xml:space="preserve">The metaphor of fixing a broken car was used to illustrate the debugging concept. When the car cannot work properly, we need to find the broken part, think about the reasons, and try to repair it until it returns to normal. Just like that, debugging is the process of trying to find the fault and proceeding to refine it until it is right. </w:t>
            </w:r>
          </w:p>
        </w:tc>
      </w:tr>
    </w:tbl>
    <w:p w14:paraId="07FD07E1">
      <w:pPr>
        <w:widowControl/>
        <w:adjustRightInd w:val="0"/>
        <w:snapToGrid w:val="0"/>
        <w:spacing w:line="360" w:lineRule="auto"/>
        <w:jc w:val="both"/>
        <w:rPr>
          <w:rFonts w:ascii="Times New Roman" w:hAnsi="Times New Roman" w:eastAsia="PMingLiU" w:cs="Times New Roman"/>
        </w:rPr>
      </w:pPr>
    </w:p>
    <w:p w14:paraId="43E08F19">
      <w:pPr>
        <w:widowControl/>
        <w:adjustRightInd w:val="0"/>
        <w:snapToGrid w:val="0"/>
        <w:spacing w:line="360" w:lineRule="auto"/>
        <w:ind w:firstLine="480"/>
        <w:jc w:val="both"/>
        <w:rPr>
          <w:rFonts w:ascii="Times New Roman" w:hAnsi="Times New Roman" w:eastAsia="PMingLiU" w:cs="Times New Roman"/>
        </w:rPr>
      </w:pPr>
      <w:r>
        <w:rPr>
          <w:rFonts w:ascii="Times New Roman" w:hAnsi="Times New Roman" w:cs="Times New Roman"/>
        </w:rPr>
        <w:t>The second phase is introducing events and activities of source domains. In this phase, the teacher introduces the designed events and activities of the source domain, which aims to enable children to recall and be aware of the concepts related to their daily life contexts or well-understood knowledge. Then, the teacher guides them to extract features of source domains, which aims to lay a solid foundation for the following learning of abstract CT concepts. Take the loop concept as an example. First, the teacher displayed the pictures of a carousel on the screen and interacted with the class: “Have you ever seen or taken a carousel before?” Afterwards, the teacher played a video of children on a carousel and guided them to notice and understand the way the carousel works and its features (Fig. 3): “Do you know how the carousel works? Will the carousel go on and on?”. For example, one child said: “It will rotate again and again.” After interacting with the children, the teacher illustrated: “When we take the carousel at the theme park, it will rotate repeatedly, and it will not stop until a condition of 10 times is reached.”</w:t>
      </w:r>
      <w:r>
        <w:rPr>
          <w:rFonts w:ascii="Times New Roman" w:hAnsi="Times New Roman" w:eastAsia="PMingLiU" w:cs="Times New Roman"/>
        </w:rPr>
        <w:t xml:space="preserve"> </w:t>
      </w:r>
    </w:p>
    <w:p w14:paraId="086170C6">
      <w:pPr>
        <w:widowControl/>
        <w:adjustRightInd w:val="0"/>
        <w:snapToGrid w:val="0"/>
        <w:spacing w:line="360" w:lineRule="auto"/>
        <w:ind w:firstLine="480"/>
        <w:jc w:val="both"/>
        <w:rPr>
          <w:rFonts w:ascii="Times New Roman" w:hAnsi="Times New Roman" w:eastAsia="PMingLiU" w:cs="Times New Roman"/>
        </w:rPr>
      </w:pPr>
    </w:p>
    <w:p w14:paraId="135AAD22">
      <w:pPr>
        <w:spacing w:line="360" w:lineRule="auto"/>
        <w:jc w:val="center"/>
        <w:rPr>
          <w:rFonts w:ascii="Times New Roman" w:hAnsi="Times New Roman" w:eastAsia="PMingLiU" w:cs="Times New Roman"/>
        </w:rPr>
      </w:pPr>
      <w:r>
        <w:rPr>
          <w:rFonts w:hint="eastAsia" w:ascii="Times New Roman" w:hAnsi="Times New Roman" w:eastAsia="PMingLiU" w:cs="Times New Roman"/>
        </w:rPr>
        <w:drawing>
          <wp:inline distT="0" distB="0" distL="114300" distR="114300">
            <wp:extent cx="6174740" cy="3472815"/>
            <wp:effectExtent l="0" t="0" r="22860" b="6985"/>
            <wp:docPr id="2" name="图片 2" descr="演示文稿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演示文稿1_01"/>
                    <pic:cNvPicPr>
                      <a:picLocks noChangeAspect="1"/>
                    </pic:cNvPicPr>
                  </pic:nvPicPr>
                  <pic:blipFill>
                    <a:blip r:embed="rId6"/>
                    <a:stretch>
                      <a:fillRect/>
                    </a:stretch>
                  </pic:blipFill>
                  <pic:spPr>
                    <a:xfrm>
                      <a:off x="0" y="0"/>
                      <a:ext cx="6174740" cy="3472815"/>
                    </a:xfrm>
                    <a:prstGeom prst="rect">
                      <a:avLst/>
                    </a:prstGeom>
                  </pic:spPr>
                </pic:pic>
              </a:graphicData>
            </a:graphic>
          </wp:inline>
        </w:drawing>
      </w:r>
    </w:p>
    <w:p w14:paraId="30E093C9">
      <w:pPr>
        <w:spacing w:line="360" w:lineRule="auto"/>
        <w:jc w:val="center"/>
        <w:rPr>
          <w:rFonts w:ascii="Times New Roman" w:hAnsi="Times New Roman" w:eastAsia="PMingLiU" w:cs="Times New Roman"/>
        </w:rPr>
      </w:pPr>
      <w:r>
        <w:rPr>
          <w:rFonts w:ascii="Times New Roman" w:hAnsi="Times New Roman" w:eastAsia="PMingLiU" w:cs="Times New Roman"/>
        </w:rPr>
        <w:t xml:space="preserve">Fig. </w:t>
      </w:r>
      <w:r>
        <w:rPr>
          <w:rFonts w:hint="eastAsia" w:ascii="Times New Roman" w:hAnsi="Times New Roman" w:eastAsia="PMingLiU" w:cs="Times New Roman"/>
        </w:rPr>
        <w:t>3</w:t>
      </w:r>
      <w:r>
        <w:rPr>
          <w:rFonts w:ascii="Times New Roman" w:hAnsi="Times New Roman" w:eastAsia="PMingLiU" w:cs="Times New Roman"/>
        </w:rPr>
        <w:t xml:space="preserve"> The teacher introduced the </w:t>
      </w:r>
      <w:r>
        <w:rPr>
          <w:rFonts w:hint="eastAsia" w:ascii="Times New Roman" w:hAnsi="Times New Roman" w:eastAsia="PMingLiU" w:cs="Times New Roman"/>
        </w:rPr>
        <w:t xml:space="preserve">events and activities of </w:t>
      </w:r>
      <w:r>
        <w:rPr>
          <w:rFonts w:ascii="Times New Roman" w:hAnsi="Times New Roman" w:eastAsia="PMingLiU" w:cs="Times New Roman"/>
        </w:rPr>
        <w:t xml:space="preserve">a </w:t>
      </w:r>
      <w:r>
        <w:rPr>
          <w:rFonts w:hint="eastAsia" w:ascii="Times New Roman" w:hAnsi="Times New Roman" w:eastAsia="PMingLiU" w:cs="Times New Roman"/>
        </w:rPr>
        <w:t>carousel</w:t>
      </w:r>
      <w:r>
        <w:rPr>
          <w:rFonts w:ascii="Times New Roman" w:hAnsi="Times New Roman" w:eastAsia="PMingLiU" w:cs="Times New Roman"/>
        </w:rPr>
        <w:t xml:space="preserve"> to the class</w:t>
      </w:r>
    </w:p>
    <w:p w14:paraId="5869BF07">
      <w:pPr>
        <w:spacing w:line="360" w:lineRule="auto"/>
        <w:jc w:val="both"/>
        <w:rPr>
          <w:rFonts w:ascii="Times New Roman" w:hAnsi="Times New Roman" w:eastAsia="PMingLiU" w:cs="Times New Roman"/>
        </w:rPr>
      </w:pPr>
    </w:p>
    <w:p w14:paraId="4153DF92">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The third phase involves interpreting target CT concepts through source domains. In this phase, the teacher interprets target CT concepts by guiding children to notice similarities between target CT concepts and source domains, so as to help them understand and grasp the target CT concepts well</w:t>
      </w:r>
      <w:r>
        <w:rPr>
          <w:rFonts w:hint="eastAsia" w:ascii="Times New Roman Regular" w:hAnsi="Times New Roman Regular" w:cs="Times New Roman Regular"/>
          <w:lang w:eastAsia="zh-CN"/>
        </w:rPr>
        <w:t xml:space="preserve"> </w:t>
      </w:r>
      <w:r>
        <w:rPr>
          <w:rFonts w:ascii="Times New Roman Regular" w:hAnsi="Times New Roman Regular" w:cs="Times New Roman Regular"/>
        </w:rPr>
        <w:t>(Peelle, 1983). Take the loop concept as an example. First, the teacher introduced the loop concept to the class: “We have just learned how the carousel works. In just the same way as the carousel works, the loop repeats the same command over and over again until a condition is fulfilled.” Afterwards, the teacher guided the children to notice similarities between the carousel (source domain) and loop (target domain): “Do you find any similarity or same features between the carousel and the loop?” For example, one child responded: “The carousel rotates repeatedly while the loop also repeats over and over again.”</w:t>
      </w:r>
    </w:p>
    <w:p w14:paraId="54BADF81">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The fourth phase involves introducing symbolic representations related to target domains. As each programming block represents one specific instruction (Bers et al., 20</w:t>
      </w:r>
      <w:r>
        <w:rPr>
          <w:rFonts w:hint="eastAsia" w:ascii="Times New Roman Regular" w:hAnsi="Times New Roman Regular" w:cs="Times New Roman Regular"/>
          <w:lang w:val="en-US" w:eastAsia="zh-CN"/>
        </w:rPr>
        <w:t>19</w:t>
      </w:r>
      <w:r>
        <w:rPr>
          <w:rFonts w:ascii="Times New Roman Regular" w:hAnsi="Times New Roman Regular" w:cs="Times New Roman Regular"/>
        </w:rPr>
        <w:t>;</w:t>
      </w:r>
      <w:r>
        <w:rPr>
          <w:rFonts w:hint="eastAsia" w:ascii="Times New Roman Regular" w:hAnsi="Times New Roman Regular" w:cs="Times New Roman Regular"/>
          <w:lang w:val="en-US" w:eastAsia="zh-CN"/>
        </w:rPr>
        <w:t xml:space="preserve"> Relkin et al., 2021</w:t>
      </w:r>
      <w:r>
        <w:rPr>
          <w:rFonts w:ascii="Times New Roman Regular" w:hAnsi="Times New Roman Regular" w:cs="Times New Roman Regular"/>
        </w:rPr>
        <w:t xml:space="preserve">), in this phase, the teacher introduces programming </w:t>
      </w:r>
      <w:r>
        <w:rPr>
          <w:rFonts w:hint="eastAsia" w:ascii="Times New Roman Regular" w:hAnsi="Times New Roman Regular" w:cs="Times New Roman Regular"/>
          <w:lang w:eastAsia="zh-CN"/>
        </w:rPr>
        <w:t>instructions/</w:t>
      </w:r>
      <w:r>
        <w:rPr>
          <w:rFonts w:ascii="Times New Roman Regular" w:hAnsi="Times New Roman Regular" w:cs="Times New Roman Regular"/>
        </w:rPr>
        <w:t xml:space="preserve">blocks related to target CT concepts and interprets their functions and usages with cases to the class. Take the loop as an example. First, the teacher showed the loop programming blocks to the class: “As shown on the screen (Fig. 4), there are corresponding loop programming blocks in </w:t>
      </w:r>
      <w:r>
        <w:rPr>
          <w:rFonts w:ascii="Times New Roman Italic" w:hAnsi="Times New Roman Italic" w:cs="Times New Roman Italic"/>
          <w:i/>
          <w:iCs/>
        </w:rPr>
        <w:t>Matatalab</w:t>
      </w:r>
      <w:r>
        <w:rPr>
          <w:rFonts w:ascii="Times New Roman Regular" w:hAnsi="Times New Roman Regular" w:cs="Times New Roman Regular"/>
        </w:rPr>
        <w:t xml:space="preserve"> programming kits: loop begin and loop end. What are their colors?” For example, one child stated: “They are green.” Then, the teacher interpreted their function and usage through cases: “Look, here is a piece of code sample (Fig. 4). As we learned that the loop repeats the same command over and over again until a condition is fulfilled, can you recognize the repeated instructions in this piece of code? How many times do they repeat?” After inviting some children to answer this question, the teacher interpreted their function and usage to the class.</w:t>
      </w:r>
    </w:p>
    <w:p w14:paraId="787AB757">
      <w:pPr>
        <w:spacing w:line="360" w:lineRule="auto"/>
        <w:jc w:val="both"/>
        <w:rPr>
          <w:rFonts w:ascii="Times New Roman" w:hAnsi="Times New Roman" w:eastAsia="PMingLiU" w:cs="Times New Roman"/>
        </w:rPr>
      </w:pPr>
    </w:p>
    <w:p w14:paraId="13663673">
      <w:pPr>
        <w:spacing w:line="360" w:lineRule="auto"/>
        <w:jc w:val="center"/>
        <w:rPr>
          <w:rFonts w:ascii="Times New Roman" w:hAnsi="Times New Roman" w:eastAsia="PMingLiU" w:cs="Times New Roman"/>
        </w:rPr>
      </w:pPr>
      <w:r>
        <w:rPr>
          <w:rFonts w:hint="eastAsia" w:ascii="Times New Roman" w:hAnsi="Times New Roman" w:eastAsia="PMingLiU" w:cs="Times New Roman"/>
        </w:rPr>
        <w:drawing>
          <wp:inline distT="0" distB="0" distL="114300" distR="114300">
            <wp:extent cx="4937760" cy="5544820"/>
            <wp:effectExtent l="0" t="0" r="0" b="0"/>
            <wp:docPr id="7" name="图片 7" descr="IMG_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0777"/>
                    <pic:cNvPicPr>
                      <a:picLocks noChangeAspect="1"/>
                    </pic:cNvPicPr>
                  </pic:nvPicPr>
                  <pic:blipFill>
                    <a:blip r:embed="rId7"/>
                    <a:stretch>
                      <a:fillRect/>
                    </a:stretch>
                  </pic:blipFill>
                  <pic:spPr>
                    <a:xfrm>
                      <a:off x="0" y="0"/>
                      <a:ext cx="4942946" cy="5550899"/>
                    </a:xfrm>
                    <a:prstGeom prst="rect">
                      <a:avLst/>
                    </a:prstGeom>
                  </pic:spPr>
                </pic:pic>
              </a:graphicData>
            </a:graphic>
          </wp:inline>
        </w:drawing>
      </w:r>
    </w:p>
    <w:p w14:paraId="707CFDC7">
      <w:pPr>
        <w:spacing w:line="360" w:lineRule="auto"/>
        <w:jc w:val="center"/>
        <w:rPr>
          <w:rFonts w:ascii="Times New Roman" w:hAnsi="Times New Roman" w:eastAsia="PMingLiU" w:cs="Times New Roman"/>
        </w:rPr>
      </w:pPr>
      <w:r>
        <w:rPr>
          <w:rFonts w:ascii="Times New Roman" w:hAnsi="Times New Roman" w:eastAsia="PMingLiU" w:cs="Times New Roman"/>
        </w:rPr>
        <w:t xml:space="preserve">Fig. </w:t>
      </w:r>
      <w:r>
        <w:rPr>
          <w:rFonts w:hint="eastAsia" w:ascii="Times New Roman" w:hAnsi="Times New Roman" w:eastAsia="PMingLiU" w:cs="Times New Roman"/>
        </w:rPr>
        <w:t>4</w:t>
      </w:r>
      <w:r>
        <w:rPr>
          <w:rFonts w:ascii="Times New Roman" w:hAnsi="Times New Roman" w:eastAsia="PMingLiU" w:cs="Times New Roman"/>
        </w:rPr>
        <w:t xml:space="preserve"> The teacher introduced </w:t>
      </w:r>
      <w:r>
        <w:rPr>
          <w:rFonts w:hint="eastAsia" w:ascii="Times New Roman" w:hAnsi="Times New Roman" w:eastAsia="PMingLiU" w:cs="Times New Roman"/>
        </w:rPr>
        <w:t>loop programming blocks to the class</w:t>
      </w:r>
    </w:p>
    <w:p w14:paraId="7FCD45EB">
      <w:pPr>
        <w:spacing w:line="360" w:lineRule="auto"/>
        <w:jc w:val="both"/>
        <w:rPr>
          <w:rFonts w:ascii="Times New Roman" w:hAnsi="Times New Roman" w:eastAsia="PMingLiU" w:cs="Times New Roman"/>
        </w:rPr>
      </w:pPr>
    </w:p>
    <w:p w14:paraId="5A957EE9">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The fifth phase involves assigning robot programming tasks specific to target domains. In this phase, the teacher assigns robot programming tasks specific to target domains of CT concepts and clarifies the requirements and objectives of the tasks to the children. According to the requirements and objectives of the tasks, children collaborate with their peers to design solutions, write and execute programs, and use the target CT concepts to complete problem-solving tasks. Meanwhile, the teacher observes children’s performance during the process and provides assistance if they need help. Take the case of the loop concept as an example again: the teacher showed the corresponding programming problem-solving tasks to the children: “As shown on the screen (Fig. 5), th</w:t>
      </w:r>
      <w:r>
        <w:rPr>
          <w:rFonts w:ascii="Times New Roman Regular" w:hAnsi="Times New Roman Regular" w:cs="Times New Roman Regular"/>
          <w:highlight w:val="none"/>
        </w:rPr>
        <w:t>e Mata</w:t>
      </w:r>
      <w:r>
        <w:rPr>
          <w:rFonts w:hint="eastAsia" w:ascii="Times New Roman Regular" w:hAnsi="Times New Roman Regular" w:cs="Times New Roman Regular"/>
          <w:highlight w:val="none"/>
          <w:lang w:val="en-US" w:eastAsia="zh-CN"/>
        </w:rPr>
        <w:t>ta</w:t>
      </w:r>
      <w:r>
        <w:rPr>
          <w:rFonts w:ascii="Times New Roman Regular" w:hAnsi="Times New Roman Regular" w:cs="Times New Roman Regular"/>
          <w:highlight w:val="none"/>
        </w:rPr>
        <w:t xml:space="preserve">Bot </w:t>
      </w:r>
      <w:r>
        <w:rPr>
          <w:rFonts w:ascii="Times New Roman Regular" w:hAnsi="Times New Roman Regular" w:cs="Times New Roman Regular"/>
        </w:rPr>
        <w:t xml:space="preserve">will go around today. We have just learned about loops and will use them to solve the robot programming tasks. Please help the </w:t>
      </w:r>
      <w:r>
        <w:rPr>
          <w:rFonts w:ascii="Times New Roman Regular" w:hAnsi="Times New Roman Regular" w:cs="Times New Roman Regular"/>
          <w:highlight w:val="none"/>
        </w:rPr>
        <w:t>Mata</w:t>
      </w:r>
      <w:r>
        <w:rPr>
          <w:rFonts w:hint="eastAsia" w:ascii="Times New Roman Regular" w:hAnsi="Times New Roman Regular" w:cs="Times New Roman Regular"/>
          <w:highlight w:val="none"/>
          <w:lang w:val="en-US" w:eastAsia="zh-CN"/>
        </w:rPr>
        <w:t>ta</w:t>
      </w:r>
      <w:r>
        <w:rPr>
          <w:rFonts w:ascii="Times New Roman Regular" w:hAnsi="Times New Roman Regular" w:cs="Times New Roman Regular"/>
        </w:rPr>
        <w:t>Bot to achieve the goal.” Fig</w:t>
      </w:r>
      <w:r>
        <w:rPr>
          <w:rFonts w:hint="eastAsia" w:ascii="Times New Roman Regular" w:hAnsi="Times New Roman Regular" w:cs="Times New Roman Regular"/>
          <w:lang w:eastAsia="zh-CN"/>
        </w:rPr>
        <w:t>.</w:t>
      </w:r>
      <w:r>
        <w:rPr>
          <w:rFonts w:ascii="Times New Roman Regular" w:hAnsi="Times New Roman Regular" w:cs="Times New Roman Regular"/>
        </w:rPr>
        <w:t xml:space="preserve"> 6 shows the children engaged in the programming problem-solving task with peers.</w:t>
      </w:r>
    </w:p>
    <w:p w14:paraId="37EF439F">
      <w:pPr>
        <w:pStyle w:val="20"/>
        <w:adjustRightInd w:val="0"/>
        <w:snapToGrid w:val="0"/>
        <w:spacing w:line="360" w:lineRule="auto"/>
        <w:ind w:left="0" w:leftChars="0" w:firstLine="480" w:firstLineChars="200"/>
        <w:jc w:val="both"/>
        <w:rPr>
          <w:rFonts w:ascii="Times New Roman Regular" w:hAnsi="Times New Roman Regular" w:cs="Times New Roman Regular"/>
        </w:rPr>
      </w:pPr>
    </w:p>
    <w:p w14:paraId="4E3A2191">
      <w:pPr>
        <w:spacing w:line="360" w:lineRule="auto"/>
        <w:jc w:val="center"/>
        <w:rPr>
          <w:rFonts w:hint="eastAsia" w:ascii="Times New Roman" w:hAnsi="Times New Roman" w:eastAsia="PMingLiU" w:cs="Times New Roman"/>
          <w:lang w:eastAsia="zh-CN"/>
        </w:rPr>
      </w:pPr>
      <w:r>
        <w:rPr>
          <w:rFonts w:hint="eastAsia" w:ascii="Times New Roman" w:hAnsi="Times New Roman" w:eastAsia="PMingLiU" w:cs="Times New Roman"/>
          <w:lang w:eastAsia="zh-CN"/>
        </w:rPr>
        <w:drawing>
          <wp:inline distT="0" distB="0" distL="114300" distR="114300">
            <wp:extent cx="6120130" cy="3442335"/>
            <wp:effectExtent l="0" t="0" r="1270" b="12065"/>
            <wp:docPr id="9" name="图片 9" descr="演示文稿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演示文稿1_04"/>
                    <pic:cNvPicPr>
                      <a:picLocks noChangeAspect="1"/>
                    </pic:cNvPicPr>
                  </pic:nvPicPr>
                  <pic:blipFill>
                    <a:blip r:embed="rId8"/>
                    <a:stretch>
                      <a:fillRect/>
                    </a:stretch>
                  </pic:blipFill>
                  <pic:spPr>
                    <a:xfrm>
                      <a:off x="0" y="0"/>
                      <a:ext cx="6120130" cy="3442335"/>
                    </a:xfrm>
                    <a:prstGeom prst="rect">
                      <a:avLst/>
                    </a:prstGeom>
                  </pic:spPr>
                </pic:pic>
              </a:graphicData>
            </a:graphic>
          </wp:inline>
        </w:drawing>
      </w:r>
    </w:p>
    <w:p w14:paraId="16E306B2">
      <w:pPr>
        <w:spacing w:line="360" w:lineRule="auto"/>
        <w:jc w:val="center"/>
        <w:rPr>
          <w:rFonts w:ascii="Times New Roman" w:hAnsi="Times New Roman" w:eastAsia="PMingLiU" w:cs="Times New Roman"/>
        </w:rPr>
      </w:pPr>
      <w:r>
        <w:rPr>
          <w:rFonts w:ascii="Times New Roman" w:hAnsi="Times New Roman" w:eastAsia="PMingLiU" w:cs="Times New Roman"/>
        </w:rPr>
        <w:t xml:space="preserve">Fig. </w:t>
      </w:r>
      <w:r>
        <w:rPr>
          <w:rFonts w:hint="eastAsia" w:ascii="Times New Roman" w:hAnsi="Times New Roman" w:eastAsia="PMingLiU" w:cs="Times New Roman"/>
        </w:rPr>
        <w:t>5</w:t>
      </w:r>
      <w:r>
        <w:rPr>
          <w:rFonts w:ascii="Times New Roman" w:hAnsi="Times New Roman" w:eastAsia="PMingLiU" w:cs="Times New Roman"/>
        </w:rPr>
        <w:t xml:space="preserve"> The teacher</w:t>
      </w:r>
      <w:r>
        <w:rPr>
          <w:rFonts w:hint="eastAsia" w:ascii="Times New Roman" w:hAnsi="Times New Roman" w:eastAsia="PMingLiU" w:cs="Times New Roman"/>
        </w:rPr>
        <w:t xml:space="preserve"> assigned robot programming tasks to children</w:t>
      </w:r>
    </w:p>
    <w:p w14:paraId="57B10BBC">
      <w:pPr>
        <w:spacing w:line="360" w:lineRule="auto"/>
        <w:jc w:val="both"/>
        <w:rPr>
          <w:rFonts w:ascii="Times New Roman" w:hAnsi="Times New Roman" w:eastAsia="PMingLiU" w:cs="Times New Roman"/>
        </w:rPr>
      </w:pPr>
    </w:p>
    <w:p w14:paraId="2396A898">
      <w:pPr>
        <w:spacing w:line="360" w:lineRule="auto"/>
        <w:jc w:val="center"/>
        <w:rPr>
          <w:rFonts w:hint="eastAsia" w:ascii="Times New Roman" w:hAnsi="Times New Roman" w:eastAsia="PMingLiU" w:cs="Times New Roman"/>
          <w:lang w:eastAsia="zh-CN"/>
        </w:rPr>
      </w:pPr>
      <w:r>
        <w:rPr>
          <w:rFonts w:hint="eastAsia" w:ascii="Times New Roman" w:hAnsi="Times New Roman" w:eastAsia="PMingLiU" w:cs="Times New Roman"/>
          <w:lang w:eastAsia="zh-CN"/>
        </w:rPr>
        <w:drawing>
          <wp:inline distT="0" distB="0" distL="114300" distR="114300">
            <wp:extent cx="6183630" cy="4637405"/>
            <wp:effectExtent l="0" t="0" r="13970" b="10795"/>
            <wp:docPr id="8" name="图片 8" descr="IMG_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1342"/>
                    <pic:cNvPicPr>
                      <a:picLocks noChangeAspect="1"/>
                    </pic:cNvPicPr>
                  </pic:nvPicPr>
                  <pic:blipFill>
                    <a:blip r:embed="rId9"/>
                    <a:stretch>
                      <a:fillRect/>
                    </a:stretch>
                  </pic:blipFill>
                  <pic:spPr>
                    <a:xfrm>
                      <a:off x="0" y="0"/>
                      <a:ext cx="6183630" cy="4637405"/>
                    </a:xfrm>
                    <a:prstGeom prst="rect">
                      <a:avLst/>
                    </a:prstGeom>
                  </pic:spPr>
                </pic:pic>
              </a:graphicData>
            </a:graphic>
          </wp:inline>
        </w:drawing>
      </w:r>
    </w:p>
    <w:p w14:paraId="32161BDF">
      <w:pPr>
        <w:spacing w:line="360" w:lineRule="auto"/>
        <w:jc w:val="center"/>
        <w:rPr>
          <w:rFonts w:ascii="Times New Roman" w:hAnsi="Times New Roman" w:eastAsia="PMingLiU" w:cs="Times New Roman"/>
        </w:rPr>
      </w:pPr>
      <w:r>
        <w:rPr>
          <w:rFonts w:ascii="Times New Roman" w:hAnsi="Times New Roman" w:eastAsia="PMingLiU" w:cs="Times New Roman"/>
        </w:rPr>
        <w:t xml:space="preserve">Fig. </w:t>
      </w:r>
      <w:r>
        <w:rPr>
          <w:rFonts w:hint="eastAsia" w:ascii="Times New Roman" w:hAnsi="Times New Roman" w:eastAsia="PMingLiU" w:cs="Times New Roman"/>
        </w:rPr>
        <w:t>6</w:t>
      </w:r>
      <w:r>
        <w:rPr>
          <w:rFonts w:ascii="Times New Roman" w:hAnsi="Times New Roman" w:eastAsia="PMingLiU" w:cs="Times New Roman"/>
        </w:rPr>
        <w:t xml:space="preserve"> The children engaged in the programming problem-solving task with peers</w:t>
      </w:r>
    </w:p>
    <w:p w14:paraId="181A666B">
      <w:pPr>
        <w:spacing w:line="360" w:lineRule="auto"/>
        <w:jc w:val="both"/>
        <w:rPr>
          <w:rFonts w:ascii="Times New Roman" w:hAnsi="Times New Roman" w:eastAsia="PMingLiU" w:cs="Times New Roman"/>
        </w:rPr>
      </w:pPr>
    </w:p>
    <w:p w14:paraId="5A5BFFE2">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 xml:space="preserve">The sixth phase involves sharing and reflecting. In this phase, the teacher organizes children to share their robot programming works and problem-solving solutions. After sharing, the teacher provides children </w:t>
      </w:r>
      <w:r>
        <w:rPr>
          <w:rFonts w:ascii="Times New Roman" w:hAnsi="Times New Roman" w:cs="Times New Roman"/>
        </w:rPr>
        <w:t xml:space="preserve">with </w:t>
      </w:r>
      <w:r>
        <w:rPr>
          <w:rFonts w:hint="eastAsia" w:ascii="Times New Roman" w:hAnsi="Times New Roman" w:cs="Times New Roman"/>
        </w:rPr>
        <w:t xml:space="preserve">feedback on their process performance, works, or solutions and makes a conclusion about this lesson. Then, </w:t>
      </w:r>
      <w:r>
        <w:rPr>
          <w:rFonts w:ascii="Times New Roman" w:hAnsi="Times New Roman" w:cs="Times New Roman"/>
        </w:rPr>
        <w:t xml:space="preserve">the </w:t>
      </w:r>
      <w:r>
        <w:rPr>
          <w:rFonts w:hint="eastAsia" w:ascii="Times New Roman" w:hAnsi="Times New Roman" w:cs="Times New Roman"/>
        </w:rPr>
        <w:t>children reflect on and refine their works and solutions.</w:t>
      </w:r>
    </w:p>
    <w:p w14:paraId="0AE3A38C">
      <w:pPr>
        <w:adjustRightInd w:val="0"/>
        <w:snapToGrid w:val="0"/>
        <w:spacing w:line="360" w:lineRule="auto"/>
        <w:jc w:val="both"/>
        <w:rPr>
          <w:rFonts w:ascii="Times New Roman" w:hAnsi="Times New Roman" w:eastAsia="PMingLiU" w:cs="Times New Roman"/>
        </w:rPr>
      </w:pPr>
    </w:p>
    <w:p w14:paraId="519A6E11">
      <w:pPr>
        <w:pStyle w:val="20"/>
        <w:numPr>
          <w:ilvl w:val="0"/>
          <w:numId w:val="3"/>
        </w:numPr>
        <w:adjustRightInd w:val="0"/>
        <w:snapToGrid w:val="0"/>
        <w:spacing w:line="360" w:lineRule="auto"/>
        <w:ind w:left="417" w:leftChars="0" w:hanging="417" w:hangingChars="149"/>
        <w:jc w:val="both"/>
        <w:rPr>
          <w:rFonts w:ascii="Times New Roman" w:hAnsi="Times New Roman" w:cs="Times New Roman"/>
          <w:b/>
          <w:sz w:val="28"/>
        </w:rPr>
      </w:pPr>
      <w:r>
        <w:rPr>
          <w:rFonts w:ascii="Times New Roman" w:hAnsi="Times New Roman" w:cs="Times New Roman"/>
          <w:b/>
          <w:sz w:val="28"/>
        </w:rPr>
        <w:t xml:space="preserve">Experimental </w:t>
      </w:r>
      <w:r>
        <w:rPr>
          <w:rFonts w:hint="eastAsia" w:ascii="Times New Roman" w:hAnsi="Times New Roman" w:cs="Times New Roman"/>
          <w:b/>
          <w:sz w:val="28"/>
          <w:lang w:eastAsia="zh-CN"/>
        </w:rPr>
        <w:t>d</w:t>
      </w:r>
      <w:r>
        <w:rPr>
          <w:rFonts w:ascii="Times New Roman" w:hAnsi="Times New Roman" w:cs="Times New Roman"/>
          <w:b/>
          <w:sz w:val="28"/>
        </w:rPr>
        <w:t>esign</w:t>
      </w:r>
    </w:p>
    <w:p w14:paraId="6F9AC492">
      <w:pPr>
        <w:pStyle w:val="20"/>
        <w:adjustRightInd w:val="0"/>
        <w:snapToGrid w:val="0"/>
        <w:spacing w:line="360" w:lineRule="auto"/>
        <w:ind w:left="0" w:leftChars="0"/>
        <w:jc w:val="both"/>
        <w:rPr>
          <w:rFonts w:ascii="Times New Roman" w:hAnsi="Times New Roman" w:cs="Times New Roman"/>
          <w:b/>
        </w:rPr>
      </w:pPr>
      <w:r>
        <w:rPr>
          <w:rFonts w:ascii="Times New Roman" w:hAnsi="Times New Roman" w:cs="Times New Roman"/>
          <w:b/>
        </w:rPr>
        <w:t>4.1 Participants</w:t>
      </w:r>
    </w:p>
    <w:p w14:paraId="123EC4F7">
      <w:pPr>
        <w:pStyle w:val="20"/>
        <w:adjustRightInd w:val="0"/>
        <w:snapToGrid w:val="0"/>
        <w:spacing w:line="360" w:lineRule="auto"/>
        <w:ind w:left="0" w:leftChars="0" w:firstLine="480" w:firstLineChars="200"/>
        <w:jc w:val="both"/>
        <w:rPr>
          <w:rFonts w:ascii="Times New Roman" w:hAnsi="Times New Roman" w:eastAsia="PMingLiU" w:cs="Times New Roman"/>
        </w:rPr>
      </w:pPr>
      <w:r>
        <w:rPr>
          <w:rFonts w:ascii="Times New Roman Regular" w:hAnsi="Times New Roman Regular" w:cs="Times New Roman Regular"/>
        </w:rPr>
        <w:t xml:space="preserve">A quasi-experimental design was employed in this study. </w:t>
      </w:r>
      <w:r>
        <w:rPr>
          <w:rFonts w:hint="eastAsia" w:ascii="Times New Roman" w:hAnsi="Times New Roman" w:cs="Times New Roman"/>
        </w:rPr>
        <w:t>The inclusion criteri</w:t>
      </w:r>
      <w:r>
        <w:rPr>
          <w:rFonts w:ascii="Times New Roman" w:hAnsi="Times New Roman" w:cs="Times New Roman"/>
        </w:rPr>
        <w:t>on</w:t>
      </w:r>
      <w:r>
        <w:rPr>
          <w:rFonts w:hint="eastAsia" w:ascii="Times New Roman" w:hAnsi="Times New Roman" w:cs="Times New Roman"/>
        </w:rPr>
        <w:t xml:space="preserve"> </w:t>
      </w:r>
      <w:r>
        <w:rPr>
          <w:rFonts w:hint="eastAsia" w:ascii="Times New Roman" w:hAnsi="Times New Roman" w:cs="Times New Roman"/>
          <w:lang w:eastAsia="zh-CN"/>
        </w:rPr>
        <w:t>for</w:t>
      </w:r>
      <w:r>
        <w:rPr>
          <w:rFonts w:hint="eastAsia" w:ascii="Times New Roman" w:hAnsi="Times New Roman" w:cs="Times New Roman"/>
        </w:rPr>
        <w:t xml:space="preserve"> participants </w:t>
      </w:r>
      <w:r>
        <w:rPr>
          <w:rFonts w:ascii="Times New Roman" w:hAnsi="Times New Roman" w:cs="Times New Roman"/>
        </w:rPr>
        <w:t xml:space="preserve">was that they </w:t>
      </w:r>
      <w:r>
        <w:rPr>
          <w:rFonts w:hint="eastAsia" w:ascii="Times New Roman" w:hAnsi="Times New Roman" w:cs="Times New Roman"/>
        </w:rPr>
        <w:t xml:space="preserve">should have no previous </w:t>
      </w:r>
      <w:r>
        <w:rPr>
          <w:rFonts w:ascii="Times New Roman" w:hAnsi="Times New Roman" w:cs="Times New Roman"/>
        </w:rPr>
        <w:t xml:space="preserve">relevant </w:t>
      </w:r>
      <w:r>
        <w:rPr>
          <w:rFonts w:hint="eastAsia" w:ascii="Times New Roman" w:hAnsi="Times New Roman" w:cs="Times New Roman"/>
        </w:rPr>
        <w:t>training experience. A total of 118 children aged 5-6 (Mean = 5.71 years) were voluntarily recruited from one public kindergarten in eastern China. Sixty children (32 boys and 28 girls) were randomly assigned as the experimental group</w:t>
      </w:r>
      <w:r>
        <w:rPr>
          <w:rFonts w:hint="eastAsia" w:ascii="Times New Roman" w:hAnsi="Times New Roman" w:cs="Times New Roman"/>
          <w:lang w:eastAsia="zh-CN"/>
        </w:rPr>
        <w:t>,</w:t>
      </w:r>
      <w:r>
        <w:rPr>
          <w:rFonts w:hint="eastAsia" w:ascii="Times New Roman" w:hAnsi="Times New Roman" w:cs="Times New Roman"/>
        </w:rPr>
        <w:t xml:space="preserve"> and </w:t>
      </w:r>
      <w:r>
        <w:rPr>
          <w:rFonts w:ascii="Times New Roman" w:hAnsi="Times New Roman" w:cs="Times New Roman"/>
        </w:rPr>
        <w:t>58</w:t>
      </w:r>
      <w:r>
        <w:rPr>
          <w:rFonts w:hint="eastAsia" w:ascii="Times New Roman" w:hAnsi="Times New Roman" w:cs="Times New Roman"/>
        </w:rPr>
        <w:t xml:space="preserve"> (29 boys and 29 girls) as the control group. The experimental group used the MRP approach</w:t>
      </w:r>
      <w:r>
        <w:rPr>
          <w:rFonts w:hint="eastAsia" w:ascii="Times New Roman" w:hAnsi="Times New Roman" w:cs="Times New Roman"/>
          <w:lang w:eastAsia="zh-CN"/>
        </w:rPr>
        <w:t>,</w:t>
      </w:r>
      <w:r>
        <w:rPr>
          <w:rFonts w:hint="eastAsia" w:ascii="Times New Roman" w:hAnsi="Times New Roman" w:cs="Times New Roman"/>
        </w:rPr>
        <w:t xml:space="preserve"> while the control group used the CRP </w:t>
      </w:r>
      <w:r>
        <w:rPr>
          <w:rFonts w:hint="eastAsia" w:ascii="Times New Roman" w:hAnsi="Times New Roman" w:eastAsia="PMingLiU" w:cs="Times New Roman"/>
          <w:color w:val="C00000"/>
        </w:rPr>
        <w:t>approach</w:t>
      </w:r>
      <w:r>
        <w:rPr>
          <w:rFonts w:hint="eastAsia" w:ascii="Times New Roman" w:hAnsi="Times New Roman" w:cs="Times New Roman"/>
        </w:rPr>
        <w:t xml:space="preserve">. There were no significant differences in the demographic variables (i.e., age and gender), </w:t>
      </w:r>
      <w:r>
        <w:rPr>
          <w:rFonts w:ascii="Times New Roman Italic" w:hAnsi="Times New Roman Italic" w:cs="Times New Roman Italic"/>
          <w:i/>
          <w:iCs/>
        </w:rPr>
        <w:t>p</w:t>
      </w:r>
      <w:r>
        <w:rPr>
          <w:rFonts w:hint="eastAsia" w:ascii="Times New Roman" w:hAnsi="Times New Roman" w:cs="Times New Roman"/>
        </w:rPr>
        <w:t xml:space="preserve"> &gt; 0.05. The study protocol followed the Declaration of Helsinki and </w:t>
      </w:r>
      <w:r>
        <w:rPr>
          <w:rFonts w:ascii="Times New Roman" w:hAnsi="Times New Roman" w:cs="Times New Roman"/>
        </w:rPr>
        <w:t xml:space="preserve">was </w:t>
      </w:r>
      <w:r>
        <w:rPr>
          <w:rFonts w:hint="eastAsia" w:ascii="Times New Roman" w:hAnsi="Times New Roman" w:cs="Times New Roman"/>
        </w:rPr>
        <w:t>approved by the ethics committee of the researchers</w:t>
      </w:r>
      <w:r>
        <w:rPr>
          <w:rFonts w:ascii="Times New Roman" w:hAnsi="Times New Roman" w:cs="Times New Roman"/>
        </w:rPr>
        <w:t xml:space="preserve">’ </w:t>
      </w:r>
      <w:r>
        <w:rPr>
          <w:rFonts w:hint="eastAsia" w:ascii="Times New Roman" w:hAnsi="Times New Roman" w:cs="Times New Roman"/>
        </w:rPr>
        <w:t>ins</w:t>
      </w:r>
      <w:r>
        <w:rPr>
          <w:rFonts w:ascii="Times New Roman" w:hAnsi="Times New Roman" w:eastAsia="PMingLiU" w:cs="Times New Roman"/>
        </w:rPr>
        <w:t>titution. In addition, informed consent was obtained from parents, teachers, and children.</w:t>
      </w:r>
    </w:p>
    <w:p w14:paraId="1C5286EA">
      <w:pPr>
        <w:widowControl/>
        <w:rPr>
          <w:rFonts w:ascii="Times New Roman" w:hAnsi="Times New Roman" w:cs="Times New Roman"/>
          <w:b/>
        </w:rPr>
      </w:pPr>
    </w:p>
    <w:p w14:paraId="7708167F">
      <w:pPr>
        <w:spacing w:line="360" w:lineRule="auto"/>
        <w:rPr>
          <w:rFonts w:ascii="Times New Roman Bold" w:hAnsi="Times New Roman Bold" w:eastAsia="PMingLiU" w:cs="Times New Roman Bold"/>
          <w:b/>
          <w:bCs/>
        </w:rPr>
      </w:pPr>
      <w:r>
        <w:rPr>
          <w:rFonts w:ascii="Times New Roman" w:hAnsi="Times New Roman" w:cs="Times New Roman"/>
          <w:b/>
        </w:rPr>
        <w:t xml:space="preserve">4.2 </w:t>
      </w:r>
      <w:r>
        <w:rPr>
          <w:rFonts w:ascii="Times New Roman Bold" w:hAnsi="Times New Roman Bold" w:eastAsia="PMingLiU" w:cs="Times New Roman Bold"/>
          <w:b/>
          <w:bCs/>
        </w:rPr>
        <w:t xml:space="preserve">Implementation fidelity </w:t>
      </w:r>
    </w:p>
    <w:p w14:paraId="35546A80">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 xml:space="preserve">In this study, efforts were made to ensure high implementation fidelity: first, both groups were taught by the same experienced and well-trained teacher. The teacher engaged in three rounds of </w:t>
      </w:r>
      <w:r>
        <w:rPr>
          <w:rFonts w:ascii="Times New Roman" w:hAnsi="Times New Roman" w:cs="Times New Roman"/>
        </w:rPr>
        <w:t>2</w:t>
      </w:r>
      <w:r>
        <w:rPr>
          <w:rFonts w:hint="eastAsia" w:ascii="Times New Roman" w:hAnsi="Times New Roman" w:cs="Times New Roman"/>
        </w:rPr>
        <w:t xml:space="preserve">-hour professional training workshops to familiarize </w:t>
      </w:r>
      <w:r>
        <w:rPr>
          <w:rFonts w:ascii="Times New Roman" w:hAnsi="Times New Roman" w:cs="Times New Roman"/>
        </w:rPr>
        <w:t xml:space="preserve">himself </w:t>
      </w:r>
      <w:r>
        <w:rPr>
          <w:rFonts w:hint="eastAsia" w:ascii="Times New Roman" w:hAnsi="Times New Roman" w:cs="Times New Roman"/>
        </w:rPr>
        <w:t xml:space="preserve">with the robot programming tool, curriculum content, metaphor scripts, </w:t>
      </w:r>
      <w:r>
        <w:rPr>
          <w:rFonts w:ascii="Times New Roman" w:hAnsi="Times New Roman" w:cs="Times New Roman"/>
        </w:rPr>
        <w:t>and so on</w:t>
      </w:r>
      <w:r>
        <w:rPr>
          <w:rFonts w:hint="eastAsia" w:ascii="Times New Roman" w:hAnsi="Times New Roman" w:cs="Times New Roman"/>
        </w:rPr>
        <w:t xml:space="preserve">; second, the teacher was required to make reflections every week; lastly, each session of the two groups was </w:t>
      </w:r>
      <w:r>
        <w:rPr>
          <w:rFonts w:ascii="Times New Roman" w:hAnsi="Times New Roman" w:cs="Times New Roman"/>
        </w:rPr>
        <w:t>video-</w:t>
      </w:r>
      <w:r>
        <w:rPr>
          <w:rFonts w:hint="eastAsia" w:ascii="Times New Roman" w:hAnsi="Times New Roman" w:cs="Times New Roman"/>
        </w:rPr>
        <w:t>rec</w:t>
      </w:r>
      <w:r>
        <w:rPr>
          <w:rFonts w:ascii="Times New Roman" w:hAnsi="Times New Roman" w:cs="Times New Roman"/>
        </w:rPr>
        <w:t>or</w:t>
      </w:r>
      <w:r>
        <w:rPr>
          <w:rFonts w:hint="eastAsia" w:ascii="Times New Roman" w:hAnsi="Times New Roman" w:cs="Times New Roman"/>
        </w:rPr>
        <w:t xml:space="preserve">ded and was evaluated by </w:t>
      </w:r>
      <w:r>
        <w:rPr>
          <w:rFonts w:ascii="Times New Roman" w:hAnsi="Times New Roman" w:cs="Times New Roman"/>
        </w:rPr>
        <w:t xml:space="preserve">the </w:t>
      </w:r>
      <w:r>
        <w:rPr>
          <w:rFonts w:hint="eastAsia" w:ascii="Times New Roman" w:hAnsi="Times New Roman" w:cs="Times New Roman"/>
        </w:rPr>
        <w:t>primary researchers.</w:t>
      </w:r>
    </w:p>
    <w:p w14:paraId="7EE34D79">
      <w:pPr>
        <w:adjustRightInd w:val="0"/>
        <w:snapToGrid w:val="0"/>
        <w:spacing w:line="360" w:lineRule="auto"/>
        <w:jc w:val="both"/>
        <w:rPr>
          <w:rFonts w:ascii="Times New Roman" w:hAnsi="Times New Roman" w:eastAsia="PMingLiU" w:cs="Times New Roman"/>
        </w:rPr>
      </w:pPr>
    </w:p>
    <w:p w14:paraId="36322DB5">
      <w:pPr>
        <w:pStyle w:val="20"/>
        <w:adjustRightInd w:val="0"/>
        <w:snapToGrid w:val="0"/>
        <w:spacing w:line="360" w:lineRule="auto"/>
        <w:ind w:left="360" w:leftChars="0" w:hanging="360"/>
        <w:jc w:val="both"/>
        <w:rPr>
          <w:rFonts w:ascii="Times New Roman" w:hAnsi="Times New Roman" w:cs="Times New Roman"/>
          <w:b/>
        </w:rPr>
      </w:pPr>
      <w:r>
        <w:rPr>
          <w:rFonts w:ascii="Times New Roman" w:hAnsi="Times New Roman" w:cs="Times New Roman"/>
          <w:b/>
        </w:rPr>
        <w:t>4.3 Measuring tools</w:t>
      </w:r>
    </w:p>
    <w:p w14:paraId="6650ADAD">
      <w:pPr>
        <w:pStyle w:val="20"/>
        <w:adjustRightInd w:val="0"/>
        <w:snapToGrid w:val="0"/>
        <w:spacing w:line="360" w:lineRule="auto"/>
        <w:ind w:left="360" w:leftChars="0" w:hanging="360"/>
        <w:jc w:val="both"/>
        <w:rPr>
          <w:rFonts w:ascii="Times New Roman Italic" w:hAnsi="Times New Roman Italic" w:cs="Times New Roman Italic"/>
          <w:bCs/>
          <w:i/>
          <w:iCs/>
        </w:rPr>
      </w:pPr>
      <w:r>
        <w:rPr>
          <w:rFonts w:ascii="Times New Roman Italic" w:hAnsi="Times New Roman Italic" w:cs="Times New Roman Italic"/>
          <w:bCs/>
          <w:i/>
          <w:iCs/>
          <w:lang w:eastAsia="zh-CN"/>
        </w:rPr>
        <w:t>4.3.1</w:t>
      </w:r>
      <w:r>
        <w:rPr>
          <w:rFonts w:ascii="Times New Roman Italic" w:hAnsi="Times New Roman Italic" w:cs="Times New Roman Italic"/>
          <w:bCs/>
          <w:i/>
          <w:iCs/>
        </w:rPr>
        <w:t xml:space="preserve"> Computational thinking test</w:t>
      </w:r>
    </w:p>
    <w:p w14:paraId="5B09907D">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lang w:eastAsia="zh-CN"/>
        </w:rPr>
        <w:t>A</w:t>
      </w:r>
      <w:r>
        <w:rPr>
          <w:rFonts w:hint="eastAsia" w:ascii="Times New Roman" w:hAnsi="Times New Roman" w:cs="Times New Roman"/>
        </w:rPr>
        <w:t xml:space="preserve">n unplugged CT test </w:t>
      </w:r>
      <w:r>
        <w:rPr>
          <w:rFonts w:ascii="Times New Roman Italic" w:hAnsi="Times New Roman Italic" w:cs="Times New Roman Italic"/>
          <w:i/>
          <w:iCs/>
        </w:rPr>
        <w:t>TechCheck-K</w:t>
      </w:r>
      <w:r>
        <w:rPr>
          <w:rFonts w:hint="eastAsia" w:ascii="Times New Roman" w:hAnsi="Times New Roman" w:cs="Times New Roman"/>
        </w:rPr>
        <w:t xml:space="preserve"> </w:t>
      </w:r>
      <w:r>
        <w:rPr>
          <w:rFonts w:hint="eastAsia" w:ascii="Times New Roman" w:hAnsi="Times New Roman" w:cs="Times New Roman"/>
          <w:lang w:eastAsia="zh-CN"/>
        </w:rPr>
        <w:t xml:space="preserve">was adapted </w:t>
      </w:r>
      <w:r>
        <w:rPr>
          <w:rFonts w:hint="eastAsia" w:ascii="Times New Roman" w:hAnsi="Times New Roman" w:cs="Times New Roman"/>
        </w:rPr>
        <w:t xml:space="preserve">to assess </w:t>
      </w:r>
      <w:r>
        <w:rPr>
          <w:rFonts w:ascii="Times New Roman" w:hAnsi="Times New Roman" w:cs="Times New Roman"/>
        </w:rPr>
        <w:t xml:space="preserve">the </w:t>
      </w:r>
      <w:r>
        <w:rPr>
          <w:rFonts w:hint="eastAsia" w:ascii="Times New Roman" w:hAnsi="Times New Roman" w:cs="Times New Roman"/>
        </w:rPr>
        <w:t>young children</w:t>
      </w:r>
      <w:r>
        <w:rPr>
          <w:rFonts w:ascii="Times New Roman" w:hAnsi="Times New Roman" w:cs="Times New Roman"/>
        </w:rPr>
        <w:t>’</w:t>
      </w:r>
      <w:r>
        <w:rPr>
          <w:rFonts w:hint="eastAsia" w:ascii="Times New Roman" w:hAnsi="Times New Roman" w:cs="Times New Roman"/>
        </w:rPr>
        <w:t>s CT. It was developed by Relkin and Bers (202</w:t>
      </w:r>
      <w:r>
        <w:rPr>
          <w:rFonts w:hint="eastAsia" w:ascii="Times New Roman" w:hAnsi="Times New Roman" w:cs="Times New Roman"/>
          <w:lang w:val="en-US" w:eastAsia="zh-CN"/>
        </w:rPr>
        <w:t>1</w:t>
      </w:r>
      <w:r>
        <w:rPr>
          <w:rFonts w:hint="eastAsia" w:ascii="Times New Roman" w:hAnsi="Times New Roman" w:cs="Times New Roman"/>
        </w:rPr>
        <w:t>) specifically for young children based on the six dimensions of powerful ideas</w:t>
      </w:r>
      <w:r>
        <w:rPr>
          <w:rFonts w:hint="eastAsia" w:ascii="Times New Roman" w:hAnsi="Times New Roman" w:cs="Times New Roman"/>
          <w:lang w:eastAsia="zh-CN"/>
        </w:rPr>
        <w:t>:</w:t>
      </w:r>
      <w:r>
        <w:rPr>
          <w:rFonts w:hint="eastAsia" w:ascii="Times New Roman" w:hAnsi="Times New Roman" w:cs="Times New Roman"/>
        </w:rPr>
        <w:t xml:space="preserve"> hardware/software, algorithm, representation, modularity, control structure, and debugging. </w:t>
      </w:r>
      <w:r>
        <w:rPr>
          <w:rFonts w:hint="eastAsia" w:ascii="Times New Roman Italic" w:hAnsi="Times New Roman Italic" w:cs="Times New Roman Italic"/>
          <w:i/>
          <w:iCs/>
        </w:rPr>
        <w:t>TechCheck-K</w:t>
      </w:r>
      <w:r>
        <w:rPr>
          <w:rFonts w:hint="eastAsia" w:ascii="Times New Roman" w:hAnsi="Times New Roman" w:cs="Times New Roman"/>
        </w:rPr>
        <w:t xml:space="preserve"> </w:t>
      </w:r>
      <w:r>
        <w:rPr>
          <w:rFonts w:ascii="Times New Roman" w:hAnsi="Times New Roman" w:cs="Times New Roman"/>
        </w:rPr>
        <w:t>include</w:t>
      </w:r>
      <w:r>
        <w:rPr>
          <w:rFonts w:hint="eastAsia" w:ascii="Times New Roman" w:hAnsi="Times New Roman" w:cs="Times New Roman"/>
        </w:rPr>
        <w:t xml:space="preserve">s 15 items </w:t>
      </w:r>
      <w:r>
        <w:rPr>
          <w:rFonts w:ascii="Times New Roman" w:hAnsi="Times New Roman" w:cs="Times New Roman"/>
        </w:rPr>
        <w:t>and does not</w:t>
      </w:r>
      <w:r>
        <w:rPr>
          <w:rFonts w:hint="eastAsia" w:ascii="Times New Roman" w:hAnsi="Times New Roman" w:cs="Times New Roman"/>
        </w:rPr>
        <w:t xml:space="preserve"> requir</w:t>
      </w:r>
      <w:r>
        <w:rPr>
          <w:rFonts w:ascii="Times New Roman" w:hAnsi="Times New Roman" w:cs="Times New Roman"/>
        </w:rPr>
        <w:t>e respondents’</w:t>
      </w:r>
      <w:r>
        <w:rPr>
          <w:rFonts w:hint="eastAsia" w:ascii="Times New Roman" w:hAnsi="Times New Roman" w:cs="Times New Roman"/>
        </w:rPr>
        <w:t xml:space="preserve"> prior experience </w:t>
      </w:r>
      <w:r>
        <w:rPr>
          <w:rFonts w:ascii="Times New Roman" w:hAnsi="Times New Roman" w:cs="Times New Roman"/>
        </w:rPr>
        <w:t>of</w:t>
      </w:r>
      <w:r>
        <w:rPr>
          <w:rFonts w:hint="eastAsia" w:ascii="Times New Roman" w:hAnsi="Times New Roman" w:cs="Times New Roman"/>
        </w:rPr>
        <w:t xml:space="preserve"> programming. As reported by Relkin and Bers (202</w:t>
      </w:r>
      <w:r>
        <w:rPr>
          <w:rFonts w:hint="eastAsia" w:ascii="Times New Roman" w:hAnsi="Times New Roman" w:cs="Times New Roman"/>
          <w:lang w:val="en-US" w:eastAsia="zh-CN"/>
        </w:rPr>
        <w:t>1</w:t>
      </w:r>
      <w:r>
        <w:rPr>
          <w:rFonts w:hint="eastAsia" w:ascii="Times New Roman" w:hAnsi="Times New Roman" w:cs="Times New Roman"/>
        </w:rPr>
        <w:t xml:space="preserve">), </w:t>
      </w:r>
      <w:r>
        <w:rPr>
          <w:rFonts w:hint="eastAsia" w:ascii="Times New Roman Italic" w:hAnsi="Times New Roman Italic" w:cs="Times New Roman Italic"/>
          <w:i/>
          <w:iCs/>
        </w:rPr>
        <w:t>TechCheck-K</w:t>
      </w:r>
      <w:r>
        <w:rPr>
          <w:rFonts w:hint="eastAsia" w:ascii="Times New Roman" w:hAnsi="Times New Roman" w:cs="Times New Roman"/>
        </w:rPr>
        <w:t xml:space="preserve"> has acceptable psychometric properties (criterion validity at </w:t>
      </w:r>
      <w:r>
        <w:rPr>
          <w:rFonts w:ascii="Times New Roman Italic" w:hAnsi="Times New Roman Italic" w:cs="Times New Roman Italic"/>
          <w:i/>
          <w:iCs/>
        </w:rPr>
        <w:t>r</w:t>
      </w:r>
      <w:r>
        <w:rPr>
          <w:rFonts w:hint="eastAsia" w:ascii="Times New Roman" w:hAnsi="Times New Roman" w:cs="Times New Roman"/>
        </w:rPr>
        <w:t xml:space="preserve"> = 0.76). In this study, its</w:t>
      </w:r>
      <w:r>
        <w:rPr>
          <w:rFonts w:hint="eastAsia" w:ascii="Times New Roman" w:hAnsi="Times New Roman" w:cs="Times New Roman"/>
          <w:lang w:eastAsia="zh-Hans"/>
        </w:rPr>
        <w:t xml:space="preserve"> Cronbach</w:t>
      </w:r>
      <w:r>
        <w:rPr>
          <w:rFonts w:ascii="Times New Roman" w:hAnsi="Times New Roman" w:cs="Times New Roman"/>
          <w:lang w:eastAsia="zh-Hans"/>
        </w:rPr>
        <w:t>’</w:t>
      </w:r>
      <w:r>
        <w:rPr>
          <w:rFonts w:hint="eastAsia" w:ascii="Times New Roman" w:hAnsi="Times New Roman" w:cs="Times New Roman"/>
          <w:lang w:eastAsia="zh-Hans"/>
        </w:rPr>
        <w:t xml:space="preserve">s </w:t>
      </w:r>
      <w:r>
        <w:rPr>
          <w:rFonts w:ascii="Times New Roman Regular" w:hAnsi="Times New Roman Regular" w:cs="Times New Roman Regular"/>
          <w:lang w:eastAsia="zh-Hans"/>
        </w:rPr>
        <w:t>α</w:t>
      </w:r>
      <w:r>
        <w:rPr>
          <w:rFonts w:hint="eastAsia" w:ascii="Times New Roman" w:hAnsi="Times New Roman" w:cs="Times New Roman"/>
          <w:lang w:eastAsia="zh-Hans"/>
        </w:rPr>
        <w:t xml:space="preserve"> was .78, reaching good internal reliability. </w:t>
      </w:r>
      <w:r>
        <w:rPr>
          <w:rFonts w:hint="eastAsia" w:ascii="Times New Roman" w:hAnsi="Times New Roman" w:cs="Times New Roman"/>
        </w:rPr>
        <w:t xml:space="preserve">To better facilitate its administration and record its results, the items of </w:t>
      </w:r>
      <w:r>
        <w:rPr>
          <w:rFonts w:hint="eastAsia" w:ascii="Times New Roman Italic" w:hAnsi="Times New Roman Italic" w:cs="Times New Roman Italic"/>
          <w:i/>
          <w:iCs/>
        </w:rPr>
        <w:t>TechCheck-K</w:t>
      </w:r>
      <w:r>
        <w:rPr>
          <w:rFonts w:hint="eastAsia" w:ascii="Times New Roman" w:hAnsi="Times New Roman" w:cs="Times New Roman"/>
        </w:rPr>
        <w:t xml:space="preserve"> were converted to a digital version on Qualtrics. For consistency, assessors were convened for a roughly </w:t>
      </w:r>
      <w:r>
        <w:rPr>
          <w:rFonts w:ascii="Times New Roman" w:hAnsi="Times New Roman" w:cs="Times New Roman"/>
        </w:rPr>
        <w:t>2</w:t>
      </w:r>
      <w:r>
        <w:rPr>
          <w:rFonts w:hint="eastAsia" w:ascii="Times New Roman" w:hAnsi="Times New Roman" w:cs="Times New Roman"/>
        </w:rPr>
        <w:t xml:space="preserve">-hour training session. The assessors administered the formal test to </w:t>
      </w:r>
      <w:r>
        <w:rPr>
          <w:rFonts w:ascii="Times New Roman" w:hAnsi="Times New Roman" w:cs="Times New Roman"/>
        </w:rPr>
        <w:t xml:space="preserve">the </w:t>
      </w:r>
      <w:r>
        <w:rPr>
          <w:rFonts w:hint="eastAsia" w:ascii="Times New Roman" w:hAnsi="Times New Roman" w:cs="Times New Roman"/>
        </w:rPr>
        <w:t>children individually in a quiet and open multifunctional room.</w:t>
      </w:r>
    </w:p>
    <w:p w14:paraId="2510E945">
      <w:pPr>
        <w:pStyle w:val="20"/>
        <w:adjustRightInd w:val="0"/>
        <w:snapToGrid w:val="0"/>
        <w:spacing w:line="360" w:lineRule="auto"/>
        <w:ind w:left="0" w:leftChars="0"/>
        <w:jc w:val="both"/>
        <w:rPr>
          <w:rFonts w:ascii="Times New Roman Italic" w:hAnsi="Times New Roman Italic" w:cs="Times New Roman Italic"/>
          <w:i/>
        </w:rPr>
      </w:pPr>
    </w:p>
    <w:p w14:paraId="3C804A76">
      <w:pPr>
        <w:pStyle w:val="20"/>
        <w:adjustRightInd w:val="0"/>
        <w:snapToGrid w:val="0"/>
        <w:spacing w:line="360" w:lineRule="auto"/>
        <w:ind w:left="360" w:leftChars="0" w:hanging="360"/>
        <w:jc w:val="both"/>
        <w:rPr>
          <w:rFonts w:ascii="Times New Roman Italic" w:hAnsi="Times New Roman Italic" w:cs="Times New Roman Italic"/>
          <w:bCs/>
          <w:i/>
          <w:iCs/>
        </w:rPr>
      </w:pPr>
      <w:r>
        <w:rPr>
          <w:rFonts w:ascii="Times New Roman Italic" w:hAnsi="Times New Roman Italic" w:cs="Times New Roman Italic"/>
          <w:bCs/>
          <w:i/>
          <w:iCs/>
          <w:lang w:eastAsia="zh-CN"/>
        </w:rPr>
        <w:t>4.3.2</w:t>
      </w:r>
      <w:r>
        <w:rPr>
          <w:rFonts w:ascii="Times New Roman Italic" w:hAnsi="Times New Roman Italic" w:cs="Times New Roman Italic"/>
          <w:bCs/>
          <w:i/>
          <w:iCs/>
        </w:rPr>
        <w:t xml:space="preserve"> The coding scheme for children’s learning behaviors</w:t>
      </w:r>
    </w:p>
    <w:p w14:paraId="3C1C1EBD">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 xml:space="preserve">To better capture the children’s learning behaviors, the development of the coding scheme included the following stages. First, according to previous representative literature (Sun et al., 2021; Zhan et al., 2022), an initial coding framework was synthesized. Based on the initial coding scheme and the classroom video clips, a preliminary review was conducted on a small-scale sample of children from both groups and examined whether all behavioral features were captured. </w:t>
      </w:r>
      <w:r>
        <w:rPr>
          <w:rFonts w:hint="eastAsia" w:ascii="Times New Roman Regular" w:hAnsi="Times New Roman Regular" w:cs="Times New Roman Regular"/>
        </w:rPr>
        <w:t>After that, a panel including three experts in related fields was assembled to discuss the suitability of the coding scheme.</w:t>
      </w:r>
      <w:r>
        <w:rPr>
          <w:rFonts w:ascii="Times New Roman Regular" w:hAnsi="Times New Roman Regular" w:cs="Times New Roman Regular"/>
        </w:rPr>
        <w:t xml:space="preserve"> Finally, the coding scheme was refined according to the feedback. Two experienced coders carried out the coding session. The inter-rater reliability Kappa value was 0.82, indicating acceptable consistency. Any discrepancies were solved through discussion to reach a consensus. Table 2 shows the coding scheme for children’s learning behaviors.</w:t>
      </w:r>
    </w:p>
    <w:p w14:paraId="67F18E50">
      <w:pPr>
        <w:pStyle w:val="20"/>
        <w:adjustRightInd w:val="0"/>
        <w:snapToGrid w:val="0"/>
        <w:spacing w:line="360" w:lineRule="auto"/>
        <w:ind w:left="0" w:leftChars="0"/>
        <w:jc w:val="both"/>
        <w:rPr>
          <w:rFonts w:ascii="Times New Roman Regular" w:hAnsi="Times New Roman Regular" w:cs="Times New Roman Regular"/>
        </w:rPr>
      </w:pPr>
    </w:p>
    <w:p w14:paraId="121473E1">
      <w:pPr>
        <w:spacing w:line="360" w:lineRule="auto"/>
        <w:rPr>
          <w:rFonts w:ascii="Times New Roman" w:hAnsi="Times New Roman" w:eastAsia="PMingLiU" w:cs="Times New Roman"/>
        </w:rPr>
      </w:pPr>
      <w:r>
        <w:rPr>
          <w:rFonts w:ascii="Times New Roman" w:hAnsi="Times New Roman" w:eastAsia="PMingLiU" w:cs="Times New Roman"/>
        </w:rPr>
        <w:t xml:space="preserve">Table </w:t>
      </w:r>
      <w:r>
        <w:rPr>
          <w:rFonts w:hint="eastAsia" w:ascii="Times New Roman" w:hAnsi="Times New Roman" w:eastAsia="PMingLiU" w:cs="Times New Roman"/>
        </w:rPr>
        <w:t>2</w:t>
      </w:r>
      <w:r>
        <w:rPr>
          <w:rFonts w:ascii="Times New Roman" w:hAnsi="Times New Roman" w:eastAsia="PMingLiU" w:cs="Times New Roman"/>
        </w:rPr>
        <w:t>. Coding scheme for children’s learning behaviors.</w:t>
      </w:r>
    </w:p>
    <w:tbl>
      <w:tblPr>
        <w:tblStyle w:val="10"/>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2558"/>
        <w:gridCol w:w="6275"/>
      </w:tblGrid>
      <w:tr w14:paraId="7958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single" w:color="auto" w:sz="12" w:space="0"/>
              <w:left w:val="nil"/>
              <w:bottom w:val="single" w:color="auto" w:sz="4" w:space="0"/>
              <w:right w:val="nil"/>
            </w:tcBorders>
          </w:tcPr>
          <w:p w14:paraId="2A4831EC">
            <w:pPr>
              <w:snapToGrid w:val="0"/>
              <w:rPr>
                <w:rFonts w:ascii="Times New Roman" w:hAnsi="Times New Roman" w:eastAsia="PMingLiU" w:cs="Times New Roman"/>
              </w:rPr>
            </w:pPr>
            <w:r>
              <w:rPr>
                <w:rFonts w:ascii="Times New Roman" w:hAnsi="Times New Roman" w:eastAsia="PMingLiU" w:cs="Times New Roman"/>
              </w:rPr>
              <w:t>Code</w:t>
            </w:r>
          </w:p>
        </w:tc>
        <w:tc>
          <w:tcPr>
            <w:tcW w:w="2558" w:type="dxa"/>
            <w:tcBorders>
              <w:top w:val="single" w:color="auto" w:sz="12" w:space="0"/>
              <w:left w:val="nil"/>
              <w:bottom w:val="single" w:color="auto" w:sz="4" w:space="0"/>
              <w:right w:val="nil"/>
            </w:tcBorders>
          </w:tcPr>
          <w:p w14:paraId="75FAFC78">
            <w:pPr>
              <w:snapToGrid w:val="0"/>
              <w:rPr>
                <w:rFonts w:ascii="Times New Roman" w:hAnsi="Times New Roman" w:eastAsia="PMingLiU" w:cs="Times New Roman"/>
              </w:rPr>
            </w:pPr>
            <w:r>
              <w:rPr>
                <w:rFonts w:ascii="Times New Roman" w:hAnsi="Times New Roman" w:eastAsia="PMingLiU" w:cs="Times New Roman"/>
              </w:rPr>
              <w:t>Behavior</w:t>
            </w:r>
          </w:p>
        </w:tc>
        <w:tc>
          <w:tcPr>
            <w:tcW w:w="6275" w:type="dxa"/>
            <w:tcBorders>
              <w:top w:val="single" w:color="auto" w:sz="12" w:space="0"/>
              <w:left w:val="nil"/>
              <w:bottom w:val="single" w:color="auto" w:sz="4" w:space="0"/>
              <w:right w:val="nil"/>
            </w:tcBorders>
          </w:tcPr>
          <w:p w14:paraId="169ECC0A">
            <w:pPr>
              <w:snapToGrid w:val="0"/>
              <w:rPr>
                <w:rFonts w:ascii="Times New Roman" w:hAnsi="Times New Roman" w:eastAsia="PMingLiU" w:cs="Times New Roman"/>
              </w:rPr>
            </w:pPr>
            <w:r>
              <w:rPr>
                <w:rFonts w:ascii="Times New Roman" w:hAnsi="Times New Roman" w:eastAsia="PMingLiU" w:cs="Times New Roman"/>
              </w:rPr>
              <w:t>Description</w:t>
            </w:r>
          </w:p>
        </w:tc>
      </w:tr>
      <w:tr w14:paraId="41E6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single" w:color="auto" w:sz="4" w:space="0"/>
              <w:left w:val="nil"/>
              <w:bottom w:val="nil"/>
              <w:right w:val="nil"/>
            </w:tcBorders>
          </w:tcPr>
          <w:p w14:paraId="7CE2CE4D">
            <w:pPr>
              <w:snapToGrid w:val="0"/>
              <w:rPr>
                <w:rFonts w:ascii="Times New Roman" w:hAnsi="Times New Roman" w:eastAsia="PMingLiU" w:cs="Times New Roman"/>
              </w:rPr>
            </w:pPr>
            <w:r>
              <w:rPr>
                <w:rFonts w:ascii="Times New Roman" w:hAnsi="Times New Roman" w:eastAsia="PMingLiU" w:cs="Times New Roman"/>
              </w:rPr>
              <w:t>LT</w:t>
            </w:r>
          </w:p>
        </w:tc>
        <w:tc>
          <w:tcPr>
            <w:tcW w:w="2558" w:type="dxa"/>
            <w:tcBorders>
              <w:top w:val="single" w:color="auto" w:sz="4" w:space="0"/>
              <w:left w:val="nil"/>
              <w:bottom w:val="nil"/>
              <w:right w:val="nil"/>
            </w:tcBorders>
          </w:tcPr>
          <w:p w14:paraId="4D01E1F0">
            <w:pPr>
              <w:snapToGrid w:val="0"/>
              <w:rPr>
                <w:rFonts w:ascii="Times New Roman" w:hAnsi="Times New Roman" w:eastAsia="PMingLiU" w:cs="Times New Roman"/>
              </w:rPr>
            </w:pPr>
            <w:r>
              <w:rPr>
                <w:rFonts w:ascii="Times New Roman" w:hAnsi="Times New Roman" w:eastAsia="PMingLiU" w:cs="Times New Roman"/>
              </w:rPr>
              <w:t>Listen to the teacher</w:t>
            </w:r>
          </w:p>
        </w:tc>
        <w:tc>
          <w:tcPr>
            <w:tcW w:w="6275" w:type="dxa"/>
            <w:tcBorders>
              <w:top w:val="single" w:color="auto" w:sz="4" w:space="0"/>
              <w:left w:val="nil"/>
              <w:bottom w:val="nil"/>
              <w:right w:val="nil"/>
            </w:tcBorders>
          </w:tcPr>
          <w:p w14:paraId="4E0767C6">
            <w:pPr>
              <w:snapToGrid w:val="0"/>
              <w:rPr>
                <w:rFonts w:ascii="Times New Roman" w:hAnsi="Times New Roman" w:eastAsia="PMingLiU" w:cs="Times New Roman"/>
              </w:rPr>
            </w:pPr>
            <w:r>
              <w:rPr>
                <w:rFonts w:ascii="Times New Roman" w:hAnsi="Times New Roman" w:eastAsia="PMingLiU" w:cs="Times New Roman"/>
              </w:rPr>
              <w:t>Children listen to the instructor during the class.</w:t>
            </w:r>
          </w:p>
        </w:tc>
      </w:tr>
      <w:tr w14:paraId="7052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43372AFB">
            <w:pPr>
              <w:snapToGrid w:val="0"/>
              <w:rPr>
                <w:rFonts w:ascii="Times New Roman" w:hAnsi="Times New Roman" w:eastAsia="PMingLiU" w:cs="Times New Roman"/>
              </w:rPr>
            </w:pPr>
            <w:r>
              <w:rPr>
                <w:rFonts w:ascii="Times New Roman" w:hAnsi="Times New Roman" w:eastAsia="PMingLiU" w:cs="Times New Roman"/>
              </w:rPr>
              <w:t>IT</w:t>
            </w:r>
          </w:p>
        </w:tc>
        <w:tc>
          <w:tcPr>
            <w:tcW w:w="2558" w:type="dxa"/>
            <w:tcBorders>
              <w:top w:val="nil"/>
              <w:left w:val="nil"/>
              <w:bottom w:val="nil"/>
              <w:right w:val="nil"/>
            </w:tcBorders>
          </w:tcPr>
          <w:p w14:paraId="2C939FAB">
            <w:pPr>
              <w:snapToGrid w:val="0"/>
              <w:rPr>
                <w:rFonts w:ascii="Times New Roman" w:hAnsi="Times New Roman" w:eastAsia="PMingLiU" w:cs="Times New Roman"/>
              </w:rPr>
            </w:pPr>
            <w:r>
              <w:rPr>
                <w:rFonts w:ascii="Times New Roman" w:hAnsi="Times New Roman" w:eastAsia="PMingLiU" w:cs="Times New Roman"/>
              </w:rPr>
              <w:t>Interact with the teacher</w:t>
            </w:r>
          </w:p>
        </w:tc>
        <w:tc>
          <w:tcPr>
            <w:tcW w:w="6275" w:type="dxa"/>
            <w:tcBorders>
              <w:top w:val="nil"/>
              <w:left w:val="nil"/>
              <w:bottom w:val="nil"/>
              <w:right w:val="nil"/>
            </w:tcBorders>
          </w:tcPr>
          <w:p w14:paraId="0F0FBEA2">
            <w:pPr>
              <w:snapToGrid w:val="0"/>
              <w:rPr>
                <w:rFonts w:ascii="Times New Roman" w:hAnsi="Times New Roman" w:eastAsia="PMingLiU" w:cs="Times New Roman"/>
              </w:rPr>
            </w:pPr>
            <w:r>
              <w:rPr>
                <w:rFonts w:ascii="Times New Roman" w:hAnsi="Times New Roman" w:eastAsia="PMingLiU" w:cs="Times New Roman"/>
              </w:rPr>
              <w:t>Children answer questions or give feedback to the teacher.</w:t>
            </w:r>
          </w:p>
        </w:tc>
      </w:tr>
      <w:tr w14:paraId="6A20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0DCA065D">
            <w:pPr>
              <w:snapToGrid w:val="0"/>
              <w:rPr>
                <w:rFonts w:ascii="Times New Roman" w:hAnsi="Times New Roman" w:eastAsia="PMingLiU" w:cs="Times New Roman"/>
              </w:rPr>
            </w:pPr>
            <w:r>
              <w:rPr>
                <w:rFonts w:ascii="Times New Roman" w:hAnsi="Times New Roman" w:eastAsia="PMingLiU" w:cs="Times New Roman"/>
              </w:rPr>
              <w:t>DP</w:t>
            </w:r>
          </w:p>
        </w:tc>
        <w:tc>
          <w:tcPr>
            <w:tcW w:w="2558" w:type="dxa"/>
            <w:tcBorders>
              <w:top w:val="nil"/>
              <w:left w:val="nil"/>
              <w:bottom w:val="nil"/>
              <w:right w:val="nil"/>
            </w:tcBorders>
          </w:tcPr>
          <w:p w14:paraId="5EE3FDEC">
            <w:pPr>
              <w:snapToGrid w:val="0"/>
              <w:rPr>
                <w:rFonts w:ascii="Times New Roman" w:hAnsi="Times New Roman" w:eastAsia="PMingLiU" w:cs="Times New Roman"/>
              </w:rPr>
            </w:pPr>
            <w:r>
              <w:rPr>
                <w:rFonts w:ascii="Times New Roman" w:hAnsi="Times New Roman" w:eastAsia="PMingLiU" w:cs="Times New Roman"/>
              </w:rPr>
              <w:t>Discuss with peers</w:t>
            </w:r>
          </w:p>
        </w:tc>
        <w:tc>
          <w:tcPr>
            <w:tcW w:w="6275" w:type="dxa"/>
            <w:tcBorders>
              <w:top w:val="nil"/>
              <w:left w:val="nil"/>
              <w:bottom w:val="nil"/>
              <w:right w:val="nil"/>
            </w:tcBorders>
          </w:tcPr>
          <w:p w14:paraId="5CBB4833">
            <w:pPr>
              <w:snapToGrid w:val="0"/>
              <w:rPr>
                <w:rFonts w:ascii="Times New Roman" w:hAnsi="Times New Roman" w:eastAsia="PMingLiU" w:cs="Times New Roman"/>
              </w:rPr>
            </w:pPr>
            <w:r>
              <w:rPr>
                <w:rFonts w:ascii="Times New Roman" w:hAnsi="Times New Roman" w:eastAsia="PMingLiU" w:cs="Times New Roman"/>
              </w:rPr>
              <w:t>Children discuss with partners the learning activities, programming solutions, and opinions.</w:t>
            </w:r>
          </w:p>
        </w:tc>
      </w:tr>
      <w:tr w14:paraId="7AF1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72B921A7">
            <w:pPr>
              <w:snapToGrid w:val="0"/>
              <w:rPr>
                <w:rFonts w:ascii="Times New Roman" w:hAnsi="Times New Roman" w:eastAsia="PMingLiU" w:cs="Times New Roman"/>
              </w:rPr>
            </w:pPr>
            <w:r>
              <w:rPr>
                <w:rFonts w:ascii="Times New Roman" w:hAnsi="Times New Roman" w:eastAsia="PMingLiU" w:cs="Times New Roman"/>
              </w:rPr>
              <w:t>WP</w:t>
            </w:r>
          </w:p>
        </w:tc>
        <w:tc>
          <w:tcPr>
            <w:tcW w:w="2558" w:type="dxa"/>
            <w:tcBorders>
              <w:top w:val="nil"/>
              <w:left w:val="nil"/>
              <w:bottom w:val="nil"/>
              <w:right w:val="nil"/>
            </w:tcBorders>
          </w:tcPr>
          <w:p w14:paraId="2E7CF074">
            <w:pPr>
              <w:snapToGrid w:val="0"/>
              <w:rPr>
                <w:rFonts w:ascii="Times New Roman" w:hAnsi="Times New Roman" w:eastAsia="PMingLiU" w:cs="Times New Roman"/>
              </w:rPr>
            </w:pPr>
            <w:r>
              <w:rPr>
                <w:rFonts w:ascii="Times New Roman" w:hAnsi="Times New Roman" w:eastAsia="PMingLiU" w:cs="Times New Roman"/>
              </w:rPr>
              <w:t>Write the program</w:t>
            </w:r>
          </w:p>
        </w:tc>
        <w:tc>
          <w:tcPr>
            <w:tcW w:w="6275" w:type="dxa"/>
            <w:tcBorders>
              <w:top w:val="nil"/>
              <w:left w:val="nil"/>
              <w:bottom w:val="nil"/>
              <w:right w:val="nil"/>
            </w:tcBorders>
          </w:tcPr>
          <w:p w14:paraId="104A5490">
            <w:pPr>
              <w:snapToGrid w:val="0"/>
              <w:rPr>
                <w:rFonts w:ascii="Times New Roman" w:hAnsi="Times New Roman" w:eastAsia="PMingLiU" w:cs="Times New Roman"/>
              </w:rPr>
            </w:pPr>
            <w:r>
              <w:rPr>
                <w:rFonts w:ascii="Times New Roman" w:hAnsi="Times New Roman" w:eastAsia="PMingLiU" w:cs="Times New Roman"/>
              </w:rPr>
              <w:t>Children plan the routes and place the programming blocks.</w:t>
            </w:r>
          </w:p>
        </w:tc>
      </w:tr>
      <w:tr w14:paraId="6A98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4C3044B9">
            <w:pPr>
              <w:snapToGrid w:val="0"/>
              <w:rPr>
                <w:rFonts w:ascii="Times New Roman" w:hAnsi="Times New Roman" w:eastAsia="PMingLiU" w:cs="Times New Roman"/>
              </w:rPr>
            </w:pPr>
            <w:r>
              <w:rPr>
                <w:rFonts w:ascii="Times New Roman" w:hAnsi="Times New Roman" w:eastAsia="PMingLiU" w:cs="Times New Roman"/>
              </w:rPr>
              <w:t>EP</w:t>
            </w:r>
          </w:p>
        </w:tc>
        <w:tc>
          <w:tcPr>
            <w:tcW w:w="2558" w:type="dxa"/>
            <w:tcBorders>
              <w:top w:val="nil"/>
              <w:left w:val="nil"/>
              <w:bottom w:val="nil"/>
              <w:right w:val="nil"/>
            </w:tcBorders>
          </w:tcPr>
          <w:p w14:paraId="7D95056A">
            <w:pPr>
              <w:snapToGrid w:val="0"/>
              <w:rPr>
                <w:rFonts w:ascii="Times New Roman" w:hAnsi="Times New Roman" w:eastAsia="PMingLiU" w:cs="Times New Roman"/>
              </w:rPr>
            </w:pPr>
            <w:r>
              <w:rPr>
                <w:rFonts w:ascii="Times New Roman" w:hAnsi="Times New Roman" w:eastAsia="PMingLiU" w:cs="Times New Roman"/>
              </w:rPr>
              <w:t>Execute the program</w:t>
            </w:r>
          </w:p>
        </w:tc>
        <w:tc>
          <w:tcPr>
            <w:tcW w:w="6275" w:type="dxa"/>
            <w:tcBorders>
              <w:top w:val="nil"/>
              <w:left w:val="nil"/>
              <w:bottom w:val="nil"/>
              <w:right w:val="nil"/>
            </w:tcBorders>
          </w:tcPr>
          <w:p w14:paraId="6DC310E7">
            <w:pPr>
              <w:snapToGrid w:val="0"/>
              <w:rPr>
                <w:rFonts w:ascii="Times New Roman" w:hAnsi="Times New Roman" w:eastAsia="PMingLiU" w:cs="Times New Roman"/>
              </w:rPr>
            </w:pPr>
            <w:r>
              <w:rPr>
                <w:rFonts w:ascii="Times New Roman" w:hAnsi="Times New Roman" w:eastAsia="PMingLiU" w:cs="Times New Roman"/>
              </w:rPr>
              <w:t xml:space="preserve">Children push the </w:t>
            </w:r>
            <w:r>
              <w:rPr>
                <w:rFonts w:ascii="Times New Roman" w:hAnsi="Times New Roman" w:eastAsia="PMingLiU" w:cs="Times New Roman"/>
                <w:lang w:val="en-GB"/>
              </w:rPr>
              <w:t>launch</w:t>
            </w:r>
            <w:r>
              <w:rPr>
                <w:rFonts w:ascii="Times New Roman" w:hAnsi="Times New Roman" w:eastAsia="PMingLiU" w:cs="Times New Roman"/>
              </w:rPr>
              <w:t xml:space="preserve"> button and execute the program.</w:t>
            </w:r>
          </w:p>
        </w:tc>
      </w:tr>
      <w:tr w14:paraId="4FDD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334B0DF3">
            <w:pPr>
              <w:snapToGrid w:val="0"/>
              <w:rPr>
                <w:rFonts w:ascii="Times New Roman" w:hAnsi="Times New Roman" w:eastAsia="PMingLiU" w:cs="Times New Roman"/>
              </w:rPr>
            </w:pPr>
            <w:r>
              <w:rPr>
                <w:rFonts w:ascii="Times New Roman" w:hAnsi="Times New Roman" w:eastAsia="PMingLiU" w:cs="Times New Roman"/>
              </w:rPr>
              <w:t>AH</w:t>
            </w:r>
          </w:p>
        </w:tc>
        <w:tc>
          <w:tcPr>
            <w:tcW w:w="2558" w:type="dxa"/>
            <w:tcBorders>
              <w:top w:val="nil"/>
              <w:left w:val="nil"/>
              <w:bottom w:val="nil"/>
              <w:right w:val="nil"/>
            </w:tcBorders>
          </w:tcPr>
          <w:p w14:paraId="16C6701A">
            <w:pPr>
              <w:snapToGrid w:val="0"/>
              <w:rPr>
                <w:rFonts w:ascii="Times New Roman" w:hAnsi="Times New Roman" w:eastAsia="PMingLiU" w:cs="Times New Roman"/>
              </w:rPr>
            </w:pPr>
            <w:r>
              <w:rPr>
                <w:rFonts w:ascii="Times New Roman" w:hAnsi="Times New Roman" w:eastAsia="PMingLiU" w:cs="Times New Roman"/>
              </w:rPr>
              <w:t>Ask for help</w:t>
            </w:r>
          </w:p>
        </w:tc>
        <w:tc>
          <w:tcPr>
            <w:tcW w:w="6275" w:type="dxa"/>
            <w:tcBorders>
              <w:top w:val="nil"/>
              <w:left w:val="nil"/>
              <w:bottom w:val="nil"/>
              <w:right w:val="nil"/>
            </w:tcBorders>
          </w:tcPr>
          <w:p w14:paraId="3DD02AC2">
            <w:pPr>
              <w:snapToGrid w:val="0"/>
              <w:rPr>
                <w:rFonts w:ascii="Times New Roman" w:hAnsi="Times New Roman" w:eastAsia="PMingLiU" w:cs="Times New Roman"/>
              </w:rPr>
            </w:pPr>
            <w:r>
              <w:rPr>
                <w:rFonts w:ascii="Times New Roman" w:hAnsi="Times New Roman" w:eastAsia="PMingLiU" w:cs="Times New Roman"/>
              </w:rPr>
              <w:t>Children ask the teacher or other group members for help.</w:t>
            </w:r>
          </w:p>
        </w:tc>
      </w:tr>
      <w:tr w14:paraId="0E59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1BB358DD">
            <w:pPr>
              <w:snapToGrid w:val="0"/>
              <w:rPr>
                <w:rFonts w:ascii="Times New Roman" w:hAnsi="Times New Roman" w:eastAsia="PMingLiU" w:cs="Times New Roman"/>
              </w:rPr>
            </w:pPr>
            <w:r>
              <w:rPr>
                <w:rFonts w:ascii="Times New Roman" w:hAnsi="Times New Roman" w:eastAsia="PMingLiU" w:cs="Times New Roman"/>
              </w:rPr>
              <w:t>DE</w:t>
            </w:r>
          </w:p>
        </w:tc>
        <w:tc>
          <w:tcPr>
            <w:tcW w:w="2558" w:type="dxa"/>
            <w:tcBorders>
              <w:top w:val="nil"/>
              <w:left w:val="nil"/>
              <w:bottom w:val="nil"/>
              <w:right w:val="nil"/>
            </w:tcBorders>
          </w:tcPr>
          <w:p w14:paraId="75AAD4ED">
            <w:pPr>
              <w:snapToGrid w:val="0"/>
              <w:rPr>
                <w:rFonts w:ascii="Times New Roman" w:hAnsi="Times New Roman" w:eastAsia="PMingLiU" w:cs="Times New Roman"/>
              </w:rPr>
            </w:pPr>
            <w:r>
              <w:rPr>
                <w:rFonts w:ascii="Times New Roman" w:hAnsi="Times New Roman" w:eastAsia="PMingLiU" w:cs="Times New Roman"/>
              </w:rPr>
              <w:t>Debug</w:t>
            </w:r>
          </w:p>
        </w:tc>
        <w:tc>
          <w:tcPr>
            <w:tcW w:w="6275" w:type="dxa"/>
            <w:tcBorders>
              <w:top w:val="nil"/>
              <w:left w:val="nil"/>
              <w:bottom w:val="nil"/>
              <w:right w:val="nil"/>
            </w:tcBorders>
          </w:tcPr>
          <w:p w14:paraId="5325A6C8">
            <w:pPr>
              <w:snapToGrid w:val="0"/>
              <w:rPr>
                <w:rFonts w:ascii="Times New Roman" w:hAnsi="Times New Roman" w:eastAsia="PMingLiU" w:cs="Times New Roman"/>
              </w:rPr>
            </w:pPr>
            <w:r>
              <w:rPr>
                <w:rFonts w:ascii="Times New Roman" w:hAnsi="Times New Roman" w:eastAsia="PMingLiU" w:cs="Times New Roman"/>
              </w:rPr>
              <w:t>Children check instruments, programming blocks, steps, or routes, and attempt to refine their solutions.</w:t>
            </w:r>
          </w:p>
        </w:tc>
      </w:tr>
      <w:tr w14:paraId="51AE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0F9A94BF">
            <w:pPr>
              <w:snapToGrid w:val="0"/>
              <w:rPr>
                <w:rFonts w:ascii="Times New Roman" w:hAnsi="Times New Roman" w:eastAsia="PMingLiU" w:cs="Times New Roman"/>
              </w:rPr>
            </w:pPr>
            <w:r>
              <w:rPr>
                <w:rFonts w:ascii="Times New Roman" w:hAnsi="Times New Roman" w:eastAsia="PMingLiU" w:cs="Times New Roman"/>
              </w:rPr>
              <w:t>ET</w:t>
            </w:r>
          </w:p>
        </w:tc>
        <w:tc>
          <w:tcPr>
            <w:tcW w:w="2558" w:type="dxa"/>
            <w:tcBorders>
              <w:top w:val="nil"/>
              <w:left w:val="nil"/>
              <w:bottom w:val="nil"/>
              <w:right w:val="nil"/>
            </w:tcBorders>
          </w:tcPr>
          <w:p w14:paraId="3D9AF346">
            <w:pPr>
              <w:snapToGrid w:val="0"/>
              <w:rPr>
                <w:rFonts w:ascii="Times New Roman" w:hAnsi="Times New Roman" w:eastAsia="PMingLiU" w:cs="Times New Roman"/>
              </w:rPr>
            </w:pPr>
            <w:r>
              <w:rPr>
                <w:rFonts w:ascii="Times New Roman" w:hAnsi="Times New Roman" w:eastAsia="PMingLiU" w:cs="Times New Roman"/>
              </w:rPr>
              <w:t>Extend the task</w:t>
            </w:r>
          </w:p>
        </w:tc>
        <w:tc>
          <w:tcPr>
            <w:tcW w:w="6275" w:type="dxa"/>
            <w:tcBorders>
              <w:top w:val="nil"/>
              <w:left w:val="nil"/>
              <w:bottom w:val="nil"/>
              <w:right w:val="nil"/>
            </w:tcBorders>
          </w:tcPr>
          <w:p w14:paraId="55CA69B4">
            <w:pPr>
              <w:snapToGrid w:val="0"/>
              <w:rPr>
                <w:rFonts w:ascii="Times New Roman" w:hAnsi="Times New Roman" w:eastAsia="PMingLiU" w:cs="Times New Roman"/>
              </w:rPr>
            </w:pPr>
            <w:r>
              <w:rPr>
                <w:rFonts w:ascii="Times New Roman" w:hAnsi="Times New Roman" w:eastAsia="PMingLiU" w:cs="Times New Roman"/>
              </w:rPr>
              <w:t>Children try other solutions or extend tasks by themselves after they finish the given tasks.</w:t>
            </w:r>
          </w:p>
        </w:tc>
      </w:tr>
      <w:tr w14:paraId="7D3A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nil"/>
              <w:right w:val="nil"/>
            </w:tcBorders>
          </w:tcPr>
          <w:p w14:paraId="38BE58D2">
            <w:pPr>
              <w:snapToGrid w:val="0"/>
              <w:rPr>
                <w:rFonts w:ascii="Times New Roman" w:hAnsi="Times New Roman" w:eastAsia="PMingLiU" w:cs="Times New Roman"/>
              </w:rPr>
            </w:pPr>
            <w:r>
              <w:rPr>
                <w:rFonts w:ascii="Times New Roman" w:hAnsi="Times New Roman" w:eastAsia="PMingLiU" w:cs="Times New Roman"/>
              </w:rPr>
              <w:t>SH</w:t>
            </w:r>
          </w:p>
        </w:tc>
        <w:tc>
          <w:tcPr>
            <w:tcW w:w="2558" w:type="dxa"/>
            <w:tcBorders>
              <w:top w:val="nil"/>
              <w:left w:val="nil"/>
              <w:bottom w:val="nil"/>
              <w:right w:val="nil"/>
            </w:tcBorders>
          </w:tcPr>
          <w:p w14:paraId="72C76C4A">
            <w:pPr>
              <w:snapToGrid w:val="0"/>
              <w:rPr>
                <w:rFonts w:ascii="Times New Roman" w:hAnsi="Times New Roman" w:eastAsia="PMingLiU" w:cs="Times New Roman"/>
              </w:rPr>
            </w:pPr>
            <w:r>
              <w:rPr>
                <w:rFonts w:ascii="Times New Roman" w:hAnsi="Times New Roman" w:eastAsia="PMingLiU" w:cs="Times New Roman"/>
              </w:rPr>
              <w:t>Share</w:t>
            </w:r>
          </w:p>
        </w:tc>
        <w:tc>
          <w:tcPr>
            <w:tcW w:w="6275" w:type="dxa"/>
            <w:tcBorders>
              <w:top w:val="nil"/>
              <w:left w:val="nil"/>
              <w:bottom w:val="nil"/>
              <w:right w:val="nil"/>
            </w:tcBorders>
          </w:tcPr>
          <w:p w14:paraId="16B9E6DB">
            <w:pPr>
              <w:snapToGrid w:val="0"/>
              <w:rPr>
                <w:rFonts w:ascii="Times New Roman" w:hAnsi="Times New Roman" w:eastAsia="PMingLiU" w:cs="Times New Roman"/>
              </w:rPr>
            </w:pPr>
            <w:r>
              <w:rPr>
                <w:rFonts w:ascii="Times New Roman" w:hAnsi="Times New Roman" w:eastAsia="PMingLiU" w:cs="Times New Roman"/>
              </w:rPr>
              <w:t>Children share their solutions or tasks with the teacher or peers.</w:t>
            </w:r>
          </w:p>
        </w:tc>
      </w:tr>
      <w:tr w14:paraId="71C8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Borders>
              <w:top w:val="nil"/>
              <w:left w:val="nil"/>
              <w:bottom w:val="single" w:color="auto" w:sz="12" w:space="0"/>
              <w:right w:val="nil"/>
            </w:tcBorders>
          </w:tcPr>
          <w:p w14:paraId="2037E1AC">
            <w:pPr>
              <w:snapToGrid w:val="0"/>
              <w:rPr>
                <w:rFonts w:ascii="Times New Roman" w:hAnsi="Times New Roman" w:eastAsia="PMingLiU" w:cs="Times New Roman"/>
              </w:rPr>
            </w:pPr>
            <w:r>
              <w:rPr>
                <w:rFonts w:ascii="Times New Roman" w:hAnsi="Times New Roman" w:eastAsia="PMingLiU" w:cs="Times New Roman"/>
              </w:rPr>
              <w:t>IB</w:t>
            </w:r>
          </w:p>
        </w:tc>
        <w:tc>
          <w:tcPr>
            <w:tcW w:w="2558" w:type="dxa"/>
            <w:tcBorders>
              <w:top w:val="nil"/>
              <w:left w:val="nil"/>
              <w:bottom w:val="single" w:color="auto" w:sz="12" w:space="0"/>
              <w:right w:val="nil"/>
            </w:tcBorders>
          </w:tcPr>
          <w:p w14:paraId="6EBD6EA9">
            <w:pPr>
              <w:snapToGrid w:val="0"/>
              <w:rPr>
                <w:rFonts w:ascii="Times New Roman" w:hAnsi="Times New Roman" w:eastAsia="PMingLiU" w:cs="Times New Roman"/>
              </w:rPr>
            </w:pPr>
            <w:r>
              <w:rPr>
                <w:rFonts w:ascii="Times New Roman" w:hAnsi="Times New Roman" w:eastAsia="PMingLiU" w:cs="Times New Roman"/>
              </w:rPr>
              <w:t>Irrelevant behaviors</w:t>
            </w:r>
          </w:p>
        </w:tc>
        <w:tc>
          <w:tcPr>
            <w:tcW w:w="6275" w:type="dxa"/>
            <w:tcBorders>
              <w:top w:val="nil"/>
              <w:left w:val="nil"/>
              <w:bottom w:val="single" w:color="auto" w:sz="12" w:space="0"/>
              <w:right w:val="nil"/>
            </w:tcBorders>
          </w:tcPr>
          <w:p w14:paraId="13E2B602">
            <w:pPr>
              <w:snapToGrid w:val="0"/>
              <w:rPr>
                <w:rFonts w:ascii="Times New Roman" w:hAnsi="Times New Roman" w:eastAsia="PMingLiU" w:cs="Times New Roman"/>
              </w:rPr>
            </w:pPr>
            <w:r>
              <w:rPr>
                <w:rFonts w:ascii="Times New Roman" w:hAnsi="Times New Roman" w:eastAsia="PMingLiU" w:cs="Times New Roman"/>
              </w:rPr>
              <w:t>Children chat, play, or exhibit other irrelevant behaviors.</w:t>
            </w:r>
          </w:p>
        </w:tc>
      </w:tr>
    </w:tbl>
    <w:p w14:paraId="267FC5AF">
      <w:pPr>
        <w:pStyle w:val="20"/>
        <w:adjustRightInd w:val="0"/>
        <w:snapToGrid w:val="0"/>
        <w:spacing w:line="360" w:lineRule="auto"/>
        <w:ind w:left="0" w:leftChars="0"/>
        <w:jc w:val="both"/>
        <w:rPr>
          <w:rFonts w:ascii="Times New Roman Regular" w:hAnsi="Times New Roman Regular" w:cs="Times New Roman Regular"/>
        </w:rPr>
      </w:pPr>
    </w:p>
    <w:p w14:paraId="19B39C3B">
      <w:pPr>
        <w:pStyle w:val="20"/>
        <w:adjustRightInd w:val="0"/>
        <w:snapToGrid w:val="0"/>
        <w:spacing w:line="360" w:lineRule="auto"/>
        <w:ind w:left="0" w:leftChars="0"/>
        <w:jc w:val="both"/>
        <w:rPr>
          <w:rFonts w:ascii="Times New Roman" w:hAnsi="Times New Roman" w:cs="Times New Roman"/>
          <w:b/>
        </w:rPr>
      </w:pPr>
      <w:r>
        <w:rPr>
          <w:rFonts w:ascii="Times New Roman" w:hAnsi="Times New Roman" w:cs="Times New Roman"/>
          <w:b/>
        </w:rPr>
        <w:t>4.4 Experimental procedure</w:t>
      </w:r>
    </w:p>
    <w:p w14:paraId="6EBABC44">
      <w:pPr>
        <w:pStyle w:val="20"/>
        <w:adjustRightInd w:val="0"/>
        <w:snapToGrid w:val="0"/>
        <w:spacing w:line="360" w:lineRule="auto"/>
        <w:ind w:left="0" w:leftChars="0" w:firstLine="480"/>
        <w:jc w:val="both"/>
        <w:rPr>
          <w:rFonts w:ascii="Times New Roman Regular" w:hAnsi="Times New Roman Regular" w:cs="Times New Roman Regular"/>
        </w:rPr>
      </w:pPr>
      <w:r>
        <w:rPr>
          <w:rFonts w:ascii="Times New Roman Regular" w:hAnsi="Times New Roman Regular" w:cs="Times New Roman Regular"/>
        </w:rPr>
        <w:t xml:space="preserve">The experimental procedure is shown in Fig. 7. After recruiting participants, children were required to complete the 15-minute pre-test of CT. Subsequently, a 10-week robot programming curriculum (40 minutes per week) was carried out in the kindergarten science classroom. </w:t>
      </w:r>
      <w:r>
        <w:rPr>
          <w:rFonts w:hint="eastAsia" w:ascii="Times New Roman Regular" w:hAnsi="Times New Roman Regular" w:cs="Times New Roman Regular"/>
          <w:color w:val="C00000"/>
        </w:rPr>
        <w:t>The experimental group used the MRP approach that integrated metaphors into robot programming teaching</w:t>
      </w:r>
      <w:r>
        <w:rPr>
          <w:rFonts w:hint="eastAsia" w:ascii="Times New Roman Regular" w:hAnsi="Times New Roman Regular" w:cs="Times New Roman Regular"/>
          <w:color w:val="C00000"/>
          <w:lang w:eastAsia="zh-CN"/>
        </w:rPr>
        <w:t>.</w:t>
      </w:r>
      <w:r>
        <w:rPr>
          <w:rFonts w:hint="eastAsia" w:ascii="Times New Roman Regular" w:hAnsi="Times New Roman Regular" w:cs="Times New Roman Regular"/>
          <w:color w:val="C00000"/>
        </w:rPr>
        <w:t xml:space="preserve"> </w:t>
      </w:r>
      <w:r>
        <w:rPr>
          <w:rFonts w:hint="eastAsia" w:ascii="Times New Roman Regular" w:hAnsi="Times New Roman Regular" w:cs="Times New Roman Regular"/>
          <w:color w:val="C00000"/>
          <w:lang w:eastAsia="zh-CN"/>
        </w:rPr>
        <w:t xml:space="preserve">The control group used the CRP approach that focused on conventional narration-based robot programming teaching. </w:t>
      </w:r>
      <w:r>
        <w:rPr>
          <w:rFonts w:ascii="Times New Roman Regular" w:hAnsi="Times New Roman Regular" w:cs="Times New Roman Regular"/>
        </w:rPr>
        <w:t>At the end of the intervention, both groups were assessed immediately with the CT posttest.</w:t>
      </w:r>
    </w:p>
    <w:p w14:paraId="2A5688F3">
      <w:pPr>
        <w:widowControl/>
        <w:adjustRightInd w:val="0"/>
        <w:spacing w:line="360" w:lineRule="auto"/>
        <w:jc w:val="center"/>
        <w:rPr>
          <w:rFonts w:ascii="Times New Roman" w:hAnsi="Times New Roman" w:eastAsia="標楷體" w:cs="Times New Roman"/>
          <w:kern w:val="0"/>
          <w:szCs w:val="24"/>
        </w:rPr>
      </w:pPr>
      <w:r>
        <w:rPr>
          <w:rFonts w:hint="eastAsia" w:ascii="Times New Roman" w:hAnsi="Times New Roman" w:eastAsia="標楷體" w:cs="Times New Roman"/>
          <w:kern w:val="0"/>
          <w:szCs w:val="24"/>
        </w:rPr>
        <w:drawing>
          <wp:inline distT="0" distB="0" distL="114300" distR="114300">
            <wp:extent cx="5873115" cy="3839845"/>
            <wp:effectExtent l="0" t="0" r="19685" b="20955"/>
            <wp:docPr id="24" name="图片 24" descr="配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配图_01"/>
                    <pic:cNvPicPr>
                      <a:picLocks noChangeAspect="1"/>
                    </pic:cNvPicPr>
                  </pic:nvPicPr>
                  <pic:blipFill>
                    <a:blip r:embed="rId10"/>
                    <a:stretch>
                      <a:fillRect/>
                    </a:stretch>
                  </pic:blipFill>
                  <pic:spPr>
                    <a:xfrm>
                      <a:off x="0" y="0"/>
                      <a:ext cx="5873115" cy="3839845"/>
                    </a:xfrm>
                    <a:prstGeom prst="rect">
                      <a:avLst/>
                    </a:prstGeom>
                  </pic:spPr>
                </pic:pic>
              </a:graphicData>
            </a:graphic>
          </wp:inline>
        </w:drawing>
      </w:r>
    </w:p>
    <w:p w14:paraId="559532B8">
      <w:pPr>
        <w:widowControl/>
        <w:adjustRightInd w:val="0"/>
        <w:spacing w:line="360" w:lineRule="auto"/>
        <w:jc w:val="center"/>
        <w:rPr>
          <w:rFonts w:ascii="Times New Roman" w:hAnsi="Times New Roman" w:eastAsia="標楷體" w:cs="Times New Roman"/>
          <w:kern w:val="0"/>
          <w:szCs w:val="24"/>
        </w:rPr>
      </w:pPr>
      <w:r>
        <w:rPr>
          <w:rFonts w:ascii="Times New Roman" w:hAnsi="Times New Roman" w:eastAsia="標楷體" w:cs="Times New Roman"/>
          <w:kern w:val="0"/>
          <w:szCs w:val="24"/>
        </w:rPr>
        <w:t xml:space="preserve">Fig. </w:t>
      </w:r>
      <w:r>
        <w:rPr>
          <w:rFonts w:hint="eastAsia" w:ascii="Times New Roman" w:hAnsi="Times New Roman" w:eastAsia="標楷體" w:cs="Times New Roman"/>
          <w:kern w:val="0"/>
          <w:szCs w:val="24"/>
        </w:rPr>
        <w:t>7</w:t>
      </w:r>
      <w:r>
        <w:rPr>
          <w:rFonts w:ascii="Times New Roman" w:hAnsi="Times New Roman" w:eastAsia="標楷體" w:cs="Times New Roman"/>
          <w:kern w:val="0"/>
          <w:szCs w:val="24"/>
        </w:rPr>
        <w:t xml:space="preserve"> The experimental procedure</w:t>
      </w:r>
    </w:p>
    <w:p w14:paraId="761324DB">
      <w:pPr>
        <w:pStyle w:val="20"/>
        <w:adjustRightInd w:val="0"/>
        <w:snapToGrid w:val="0"/>
        <w:spacing w:line="360" w:lineRule="auto"/>
        <w:ind w:left="0" w:leftChars="0"/>
        <w:jc w:val="both"/>
        <w:rPr>
          <w:rFonts w:ascii="Times New Roman Regular" w:hAnsi="Times New Roman Regular" w:cs="Times New Roman Regular"/>
        </w:rPr>
      </w:pPr>
    </w:p>
    <w:p w14:paraId="517D8858">
      <w:pPr>
        <w:pStyle w:val="20"/>
        <w:adjustRightInd w:val="0"/>
        <w:snapToGrid w:val="0"/>
        <w:spacing w:line="360" w:lineRule="auto"/>
        <w:ind w:left="360" w:leftChars="0" w:hanging="360"/>
        <w:jc w:val="both"/>
        <w:rPr>
          <w:rFonts w:ascii="Times New Roman" w:hAnsi="Times New Roman" w:cs="Times New Roman"/>
          <w:b/>
        </w:rPr>
      </w:pPr>
      <w:r>
        <w:rPr>
          <w:rFonts w:ascii="Times New Roman" w:hAnsi="Times New Roman" w:cs="Times New Roman"/>
          <w:b/>
        </w:rPr>
        <w:t>4.5 Data analysis</w:t>
      </w:r>
    </w:p>
    <w:p w14:paraId="3C6836E8">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 xml:space="preserve">To address RQ1, the one-way analysis of variance (ANCOVA) was performed to investigate differences in the CT posttest scores of the young children in the two groups by controlling their CT pretest scores. A </w:t>
      </w:r>
      <w:r>
        <w:rPr>
          <w:rFonts w:ascii="Times New Roman Italic" w:hAnsi="Times New Roman Italic" w:cs="Times New Roman Italic"/>
          <w:i/>
          <w:iCs/>
        </w:rPr>
        <w:t>p</w:t>
      </w:r>
      <w:r>
        <w:rPr>
          <w:rFonts w:ascii="Times New Roman Regular" w:hAnsi="Times New Roman Regular" w:cs="Times New Roman Regular"/>
        </w:rPr>
        <w:t>-value smaller than 0.5 was set to be significant in our study. All data were analyzed using the SPSS 26.0 software.</w:t>
      </w:r>
    </w:p>
    <w:p w14:paraId="1B25E5DD">
      <w:pPr>
        <w:pStyle w:val="20"/>
        <w:adjustRightInd w:val="0"/>
        <w:snapToGrid w:val="0"/>
        <w:spacing w:line="360" w:lineRule="auto"/>
        <w:ind w:left="0" w:leftChars="0" w:firstLine="480" w:firstLineChars="200"/>
        <w:jc w:val="both"/>
        <w:rPr>
          <w:rFonts w:ascii="Times New Roman Regular" w:hAnsi="Times New Roman Regular" w:cs="Times New Roman Regular"/>
        </w:rPr>
      </w:pPr>
      <w:r>
        <w:rPr>
          <w:rFonts w:ascii="Times New Roman Regular" w:hAnsi="Times New Roman Regular" w:cs="Times New Roman Regular"/>
        </w:rPr>
        <w:t xml:space="preserve">To address RQ2, children’s classroom performances were video-recorded, and two representative activity sessions in the late period were deliberately selected to code the two groups’ learning behaviors because by then the children were more familiar with the adopted teaching methods. Based on the coding scheme and videos, two researchers coded the children’s behaviors. When a child performed a specific behavior, the researchers recorded it (Bakeman &amp; Gottman, 1997). Lag sequential analysis (LSA) was used to analyze children’s learning behaviors through the GSEQ software. A </w:t>
      </w:r>
      <w:r>
        <w:rPr>
          <w:rFonts w:ascii="Times New Roman Italic" w:hAnsi="Times New Roman Italic" w:cs="Times New Roman Italic"/>
          <w:i/>
          <w:iCs/>
        </w:rPr>
        <w:t>Z</w:t>
      </w:r>
      <w:r>
        <w:rPr>
          <w:rFonts w:ascii="Times New Roman Regular" w:hAnsi="Times New Roman Regular" w:cs="Times New Roman Regular"/>
        </w:rPr>
        <w:t xml:space="preserve"> score greater than 1.96 represents a significant relationship. Then, the learning behavior conversion diagrams were drawn to compare the two groups’ behavioral patterns.</w:t>
      </w:r>
    </w:p>
    <w:p w14:paraId="519E3F44">
      <w:pPr>
        <w:pStyle w:val="20"/>
        <w:adjustRightInd w:val="0"/>
        <w:snapToGrid w:val="0"/>
        <w:spacing w:line="360" w:lineRule="auto"/>
        <w:ind w:left="0" w:leftChars="0"/>
        <w:jc w:val="both"/>
        <w:rPr>
          <w:rFonts w:ascii="Times New Roman" w:hAnsi="Times New Roman" w:cs="Times New Roman"/>
          <w:b/>
          <w:sz w:val="28"/>
          <w:lang w:eastAsia="zh-HK"/>
        </w:rPr>
      </w:pPr>
    </w:p>
    <w:p w14:paraId="65887686">
      <w:pPr>
        <w:pStyle w:val="20"/>
        <w:numPr>
          <w:ilvl w:val="0"/>
          <w:numId w:val="3"/>
        </w:numPr>
        <w:adjustRightInd w:val="0"/>
        <w:snapToGrid w:val="0"/>
        <w:spacing w:line="360" w:lineRule="auto"/>
        <w:ind w:left="417" w:leftChars="0" w:hanging="417" w:hangingChars="149"/>
        <w:jc w:val="both"/>
        <w:rPr>
          <w:rFonts w:ascii="Times New Roman" w:hAnsi="Times New Roman" w:cs="Times New Roman"/>
          <w:b/>
          <w:sz w:val="28"/>
          <w:lang w:eastAsia="zh-HK"/>
        </w:rPr>
      </w:pPr>
      <w:r>
        <w:rPr>
          <w:rFonts w:hint="eastAsia" w:ascii="Times New Roman" w:hAnsi="Times New Roman" w:cs="Times New Roman"/>
          <w:b/>
          <w:sz w:val="28"/>
          <w:lang w:eastAsia="zh-HK"/>
        </w:rPr>
        <w:t>Results</w:t>
      </w:r>
    </w:p>
    <w:p w14:paraId="5895FC3C">
      <w:pPr>
        <w:pStyle w:val="20"/>
        <w:adjustRightInd w:val="0"/>
        <w:snapToGrid w:val="0"/>
        <w:spacing w:line="360" w:lineRule="auto"/>
        <w:ind w:left="360" w:leftChars="0" w:hanging="360"/>
        <w:jc w:val="both"/>
        <w:rPr>
          <w:rFonts w:ascii="Times New Roman" w:hAnsi="Times New Roman" w:cs="Times New Roman"/>
          <w:b/>
        </w:rPr>
      </w:pPr>
      <w:r>
        <w:rPr>
          <w:rFonts w:ascii="Times New Roman" w:hAnsi="Times New Roman" w:cs="Times New Roman"/>
          <w:b/>
        </w:rPr>
        <w:t>5.1 Analysis of children’s computational thinking</w:t>
      </w:r>
    </w:p>
    <w:p w14:paraId="5839A70D">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The result of Shapiro-Wilk tests showed</w:t>
      </w:r>
      <w:r>
        <w:rPr>
          <w:rFonts w:hint="eastAsia" w:ascii="Times New Roman" w:hAnsi="Times New Roman" w:cs="Times New Roman"/>
          <w:lang w:eastAsia="zh-CN"/>
        </w:rPr>
        <w:t xml:space="preserve"> that</w:t>
      </w:r>
      <w:r>
        <w:rPr>
          <w:rFonts w:hint="eastAsia" w:ascii="Times New Roman" w:hAnsi="Times New Roman" w:cs="Times New Roman"/>
        </w:rPr>
        <w:t xml:space="preserve"> all data </w:t>
      </w:r>
      <w:r>
        <w:rPr>
          <w:rFonts w:ascii="Times New Roman" w:hAnsi="Times New Roman" w:cs="Times New Roman"/>
        </w:rPr>
        <w:t>collected</w:t>
      </w:r>
      <w:r>
        <w:rPr>
          <w:rFonts w:hint="eastAsia" w:ascii="Times New Roman" w:hAnsi="Times New Roman" w:cs="Times New Roman"/>
        </w:rPr>
        <w:t xml:space="preserve"> in this </w:t>
      </w:r>
      <w:r>
        <w:rPr>
          <w:rFonts w:ascii="Times New Roman" w:hAnsi="Times New Roman" w:cs="Times New Roman"/>
        </w:rPr>
        <w:t xml:space="preserve">study </w:t>
      </w:r>
      <w:r>
        <w:rPr>
          <w:rFonts w:hint="eastAsia" w:ascii="Times New Roman" w:hAnsi="Times New Roman" w:cs="Times New Roman"/>
        </w:rPr>
        <w:t>were approximately normally distributed (</w:t>
      </w:r>
      <w:r>
        <w:rPr>
          <w:rFonts w:ascii="Times New Roman Italic" w:hAnsi="Times New Roman Italic" w:cs="Times New Roman Italic"/>
          <w:i/>
          <w:iCs/>
        </w:rPr>
        <w:t>p</w:t>
      </w:r>
      <w:r>
        <w:rPr>
          <w:rFonts w:hint="eastAsia" w:ascii="Times New Roman" w:hAnsi="Times New Roman" w:cs="Times New Roman"/>
        </w:rPr>
        <w:t xml:space="preserve"> &gt; 0.05). Fig</w:t>
      </w:r>
      <w:r>
        <w:rPr>
          <w:rFonts w:ascii="Times New Roman" w:hAnsi="Times New Roman" w:cs="Times New Roman"/>
        </w:rPr>
        <w:t>.</w:t>
      </w:r>
      <w:r>
        <w:rPr>
          <w:rFonts w:hint="eastAsia" w:ascii="Times New Roman" w:hAnsi="Times New Roman" w:cs="Times New Roman"/>
        </w:rPr>
        <w:t xml:space="preserve"> 8 shows the box plot of the </w:t>
      </w:r>
      <w:r>
        <w:rPr>
          <w:rFonts w:hint="eastAsia" w:ascii="Times New Roman" w:hAnsi="Times New Roman" w:cs="Times New Roman"/>
          <w:lang w:val="en-US" w:eastAsia="zh-CN"/>
        </w:rPr>
        <w:t>overall</w:t>
      </w:r>
      <w:r>
        <w:rPr>
          <w:rFonts w:hint="eastAsia" w:ascii="Times New Roman" w:hAnsi="Times New Roman" w:cs="Times New Roman"/>
        </w:rPr>
        <w:t xml:space="preserve"> CT mean</w:t>
      </w:r>
      <w:r>
        <w:rPr>
          <w:rFonts w:hint="eastAsia" w:ascii="Times New Roman" w:hAnsi="Times New Roman" w:cs="Times New Roman"/>
          <w:lang w:val="en-US" w:eastAsia="zh-CN"/>
        </w:rPr>
        <w:t xml:space="preserve"> </w:t>
      </w:r>
      <w:r>
        <w:rPr>
          <w:rFonts w:hint="eastAsia" w:ascii="Times New Roman" w:hAnsi="Times New Roman" w:cs="Times New Roman"/>
        </w:rPr>
        <w:t>score</w:t>
      </w:r>
      <w:r>
        <w:rPr>
          <w:rFonts w:ascii="Times New Roman" w:hAnsi="Times New Roman" w:cs="Times New Roman"/>
        </w:rPr>
        <w:t>s</w:t>
      </w:r>
      <w:r>
        <w:rPr>
          <w:rFonts w:hint="eastAsia" w:ascii="Times New Roman" w:hAnsi="Times New Roman" w:cs="Times New Roman"/>
        </w:rPr>
        <w:t xml:space="preserve"> of the pretest and posttest by groups.</w:t>
      </w:r>
    </w:p>
    <w:p w14:paraId="784A17E1">
      <w:pPr>
        <w:pStyle w:val="20"/>
        <w:adjustRightInd w:val="0"/>
        <w:snapToGrid w:val="0"/>
        <w:spacing w:line="360" w:lineRule="auto"/>
        <w:ind w:left="0" w:leftChars="0" w:firstLine="480" w:firstLineChars="200"/>
        <w:jc w:val="both"/>
        <w:rPr>
          <w:rFonts w:ascii="Times New Roman" w:hAnsi="Times New Roman" w:cs="Times New Roman"/>
        </w:rPr>
      </w:pPr>
    </w:p>
    <w:p w14:paraId="51C698FF">
      <w:pPr>
        <w:spacing w:line="360" w:lineRule="auto"/>
        <w:jc w:val="center"/>
        <w:rPr>
          <w:rFonts w:ascii="Times New Roman" w:hAnsi="Times New Roman" w:eastAsia="PMingLiU" w:cs="Times New Roman"/>
          <w:lang w:eastAsia="zh-CN"/>
        </w:rPr>
      </w:pPr>
      <w:r>
        <w:rPr>
          <w:rFonts w:ascii="Times New Roman" w:hAnsi="Times New Roman" w:eastAsia="PMingLiU" w:cs="Times New Roman"/>
        </w:rPr>
        <w:drawing>
          <wp:inline distT="0" distB="0" distL="114300" distR="114300">
            <wp:extent cx="5981065" cy="3538220"/>
            <wp:effectExtent l="0" t="0" r="13335" b="17780"/>
            <wp:docPr id="13" name="图片 13" descr="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 6"/>
                    <pic:cNvPicPr>
                      <a:picLocks noChangeAspect="1"/>
                    </pic:cNvPicPr>
                  </pic:nvPicPr>
                  <pic:blipFill>
                    <a:blip r:embed="rId11"/>
                    <a:stretch>
                      <a:fillRect/>
                    </a:stretch>
                  </pic:blipFill>
                  <pic:spPr>
                    <a:xfrm>
                      <a:off x="0" y="0"/>
                      <a:ext cx="5981065" cy="3538220"/>
                    </a:xfrm>
                    <a:prstGeom prst="rect">
                      <a:avLst/>
                    </a:prstGeom>
                  </pic:spPr>
                </pic:pic>
              </a:graphicData>
            </a:graphic>
          </wp:inline>
        </w:drawing>
      </w:r>
    </w:p>
    <w:p w14:paraId="47AA7D5E">
      <w:pPr>
        <w:spacing w:line="360" w:lineRule="auto"/>
        <w:jc w:val="center"/>
        <w:rPr>
          <w:rFonts w:ascii="Times New Roman" w:hAnsi="Times New Roman" w:eastAsia="PMingLiU" w:cs="Times New Roman"/>
        </w:rPr>
      </w:pPr>
      <w:r>
        <w:rPr>
          <w:rFonts w:ascii="Times New Roman" w:hAnsi="Times New Roman" w:eastAsia="PMingLiU" w:cs="Times New Roman"/>
        </w:rPr>
        <w:t xml:space="preserve">Fig. </w:t>
      </w:r>
      <w:r>
        <w:rPr>
          <w:rFonts w:hint="eastAsia" w:ascii="Times New Roman" w:hAnsi="Times New Roman" w:eastAsia="PMingLiU" w:cs="Times New Roman"/>
        </w:rPr>
        <w:t>8</w:t>
      </w:r>
      <w:r>
        <w:rPr>
          <w:rFonts w:ascii="Times New Roman" w:hAnsi="Times New Roman" w:eastAsia="PMingLiU" w:cs="Times New Roman"/>
        </w:rPr>
        <w:t xml:space="preserve"> The box plot of the </w:t>
      </w:r>
      <w:r>
        <w:rPr>
          <w:rFonts w:hint="eastAsia" w:ascii="Times New Roman" w:hAnsi="Times New Roman" w:eastAsia="PMingLiU" w:cs="Times New Roman"/>
          <w:lang w:val="en-US" w:eastAsia="zh-CN"/>
        </w:rPr>
        <w:t xml:space="preserve">overall </w:t>
      </w:r>
      <w:r>
        <w:rPr>
          <w:rFonts w:ascii="Times New Roman" w:hAnsi="Times New Roman" w:eastAsia="PMingLiU" w:cs="Times New Roman"/>
        </w:rPr>
        <w:t xml:space="preserve">CT mean scores of the two groups in the pretest and posttest </w:t>
      </w:r>
    </w:p>
    <w:p w14:paraId="7774AFE3">
      <w:pPr>
        <w:pStyle w:val="20"/>
        <w:adjustRightInd w:val="0"/>
        <w:snapToGrid w:val="0"/>
        <w:spacing w:line="360" w:lineRule="auto"/>
        <w:ind w:left="0" w:leftChars="0"/>
        <w:jc w:val="both"/>
        <w:rPr>
          <w:rFonts w:ascii="Times New Roman" w:hAnsi="Times New Roman" w:cs="Times New Roman"/>
        </w:rPr>
      </w:pPr>
    </w:p>
    <w:p w14:paraId="46749B25">
      <w:pPr>
        <w:spacing w:line="360" w:lineRule="auto"/>
        <w:ind w:firstLine="480" w:firstLineChars="200"/>
        <w:jc w:val="both"/>
        <w:rPr>
          <w:rFonts w:ascii="Times New Roman" w:hAnsi="Times New Roman" w:eastAsia="PMingLiU" w:cs="Times New Roman"/>
        </w:rPr>
      </w:pPr>
      <w:r>
        <w:rPr>
          <w:rFonts w:ascii="Times New Roman Regular" w:hAnsi="Times New Roman Regular" w:cs="Times New Roman Regular"/>
        </w:rPr>
        <w:t>ANCOVA was performed to compare children’s posttest scores</w:t>
      </w:r>
      <w:r>
        <w:rPr>
          <w:rFonts w:hint="eastAsia" w:ascii="Times New Roman Regular" w:hAnsi="Times New Roman Regular" w:cs="Times New Roman Regular"/>
          <w:lang w:eastAsia="zh-CN"/>
        </w:rPr>
        <w:t>,</w:t>
      </w:r>
      <w:r>
        <w:rPr>
          <w:rFonts w:ascii="Times New Roman Regular" w:hAnsi="Times New Roman Regular" w:cs="Times New Roman Regular"/>
        </w:rPr>
        <w:t xml:space="preserve"> controlling for their CT pretest scores (Table 3). The result (</w:t>
      </w:r>
      <w:r>
        <w:rPr>
          <w:rFonts w:ascii="Times New Roman Italic" w:hAnsi="Times New Roman Italic" w:cs="Times New Roman Italic"/>
          <w:i/>
          <w:iCs/>
        </w:rPr>
        <w:t>F</w:t>
      </w:r>
      <w:r>
        <w:rPr>
          <w:rFonts w:ascii="Times New Roman Regular" w:hAnsi="Times New Roman Regular" w:cs="Times New Roman Regular"/>
        </w:rPr>
        <w:t xml:space="preserve"> = 1.3</w:t>
      </w:r>
      <w:r>
        <w:rPr>
          <w:rFonts w:hint="eastAsia" w:ascii="Times New Roman Regular" w:hAnsi="Times New Roman Regular" w:cs="Times New Roman Regular"/>
          <w:lang w:eastAsia="zh-CN"/>
        </w:rPr>
        <w:t>9</w:t>
      </w:r>
      <w:r>
        <w:rPr>
          <w:rFonts w:ascii="Times New Roman Regular" w:hAnsi="Times New Roman Regular" w:cs="Times New Roman Regular"/>
        </w:rPr>
        <w:t xml:space="preserve">, </w:t>
      </w:r>
      <w:r>
        <w:rPr>
          <w:rFonts w:ascii="Times New Roman Italic" w:hAnsi="Times New Roman Italic" w:cs="Times New Roman Italic"/>
          <w:i/>
          <w:iCs/>
        </w:rPr>
        <w:t>p</w:t>
      </w:r>
      <w:r>
        <w:rPr>
          <w:rFonts w:ascii="Times New Roman Regular" w:hAnsi="Times New Roman Regular" w:cs="Times New Roman Regular"/>
        </w:rPr>
        <w:t xml:space="preserve"> = </w:t>
      </w:r>
      <w:r>
        <w:rPr>
          <w:rFonts w:ascii="Times New Roman Regular" w:hAnsi="Times New Roman Regular" w:cs="Times New Roman Regular"/>
          <w:lang w:eastAsia="zh-Hans"/>
        </w:rPr>
        <w:t>.242</w:t>
      </w:r>
      <w:r>
        <w:rPr>
          <w:rFonts w:ascii="Times New Roman Regular" w:hAnsi="Times New Roman Regular" w:cs="Times New Roman Regular"/>
        </w:rPr>
        <w:t xml:space="preserve"> &gt; .05) of Levene’s test for equality of variances showed no significant level, specifying that the assumption of the homogeneity of variances in the groups was satisfied. </w:t>
      </w:r>
      <w:r>
        <w:rPr>
          <w:rFonts w:ascii="Times New Roman Regular" w:hAnsi="Times New Roman Regular" w:cs="Times New Roman Regular"/>
          <w:lang w:eastAsia="zh-Hans"/>
        </w:rPr>
        <w:t>T</w:t>
      </w:r>
      <w:r>
        <w:rPr>
          <w:rFonts w:ascii="Times New Roman Regular" w:hAnsi="Times New Roman Regular" w:cs="Times New Roman Regular"/>
        </w:rPr>
        <w:t>herefore, the ANCOVA could be performed for later analysis. The ANCOVA result showed that there was a significant difference in children’s posttest CT scores after controlling for their pretest CT scores (</w:t>
      </w:r>
      <w:r>
        <w:rPr>
          <w:rFonts w:ascii="Times New Roman Italic" w:hAnsi="Times New Roman Italic" w:cs="Times New Roman Italic"/>
          <w:i/>
          <w:iCs/>
        </w:rPr>
        <w:t>F</w:t>
      </w:r>
      <w:r>
        <w:rPr>
          <w:rFonts w:ascii="Times New Roman Regular" w:hAnsi="Times New Roman Regular" w:cs="Times New Roman Regular"/>
        </w:rPr>
        <w:t xml:space="preserve"> = 40.29, </w:t>
      </w:r>
      <w:r>
        <w:rPr>
          <w:rFonts w:ascii="Times New Roman Italic" w:hAnsi="Times New Roman Italic" w:cs="Times New Roman Italic"/>
          <w:i/>
          <w:iCs/>
        </w:rPr>
        <w:t xml:space="preserve">p </w:t>
      </w:r>
      <w:r>
        <w:rPr>
          <w:rFonts w:ascii="Times New Roman Regular" w:hAnsi="Times New Roman Regular" w:cs="Times New Roman Regular"/>
        </w:rPr>
        <w:t xml:space="preserve">&lt; .001, </w:t>
      </w:r>
      <w:r>
        <w:rPr>
          <w:rFonts w:ascii="Times New Roman Italic" w:hAnsi="Times New Roman Italic" w:cs="Times New Roman Italic"/>
          <w:i/>
          <w:iCs/>
          <w:lang w:eastAsia="zh-Hans"/>
        </w:rPr>
        <w:t>η</w:t>
      </w:r>
      <w:r>
        <w:rPr>
          <w:rFonts w:ascii="Times New Roman Regular" w:hAnsi="Times New Roman Regular" w:cs="Times New Roman Regular"/>
          <w:vertAlign w:val="superscript"/>
          <w:lang w:eastAsia="zh-Hans"/>
        </w:rPr>
        <w:t>2</w:t>
      </w:r>
      <w:r>
        <w:rPr>
          <w:rFonts w:ascii="Times New Roman Regular" w:hAnsi="Times New Roman Regular" w:cs="Times New Roman Regular"/>
          <w:lang w:eastAsia="zh-Hans"/>
        </w:rPr>
        <w:t xml:space="preserve"> </w:t>
      </w:r>
      <w:r>
        <w:rPr>
          <w:rFonts w:ascii="Times New Roman Regular" w:hAnsi="Times New Roman Regular" w:cs="Times New Roman Regular"/>
        </w:rPr>
        <w:t>= 0.26).</w:t>
      </w:r>
      <w:r>
        <w:rPr>
          <w:rFonts w:ascii="Times New Roman Regular" w:hAnsi="Times New Roman Regular" w:cs="Times New Roman Regular"/>
          <w:lang w:eastAsia="zh-Hans"/>
        </w:rPr>
        <w:t xml:space="preserve"> </w:t>
      </w:r>
      <w:r>
        <w:rPr>
          <w:rFonts w:ascii="Times New Roman Regular" w:hAnsi="Times New Roman Regular" w:cs="Times New Roman Regular"/>
        </w:rPr>
        <w:t>The adjusted means and standard errors of children’s posttest CT scores in the experimental group were 11.9</w:t>
      </w:r>
      <w:r>
        <w:rPr>
          <w:rFonts w:hint="eastAsia" w:ascii="Times New Roman Regular" w:hAnsi="Times New Roman Regular" w:cs="Times New Roman Regular"/>
          <w:lang w:eastAsia="zh-CN"/>
        </w:rPr>
        <w:t>8</w:t>
      </w:r>
      <w:r>
        <w:rPr>
          <w:rFonts w:ascii="Times New Roman Regular" w:hAnsi="Times New Roman Regular" w:cs="Times New Roman Regular"/>
        </w:rPr>
        <w:t xml:space="preserve"> and </w:t>
      </w:r>
      <w:r>
        <w:rPr>
          <w:rFonts w:ascii="Times New Roman" w:hAnsi="Times New Roman" w:eastAsia="PMingLiU" w:cs="Times New Roman"/>
        </w:rPr>
        <w:t>0.19</w:t>
      </w:r>
      <w:r>
        <w:rPr>
          <w:rFonts w:ascii="Times New Roman Regular" w:hAnsi="Times New Roman Regular" w:cs="Times New Roman Regular"/>
        </w:rPr>
        <w:t>, while those with the control group were 10.3</w:t>
      </w:r>
      <w:r>
        <w:rPr>
          <w:rFonts w:hint="eastAsia" w:ascii="Times New Roman Regular" w:hAnsi="Times New Roman Regular" w:cs="Times New Roman Regular"/>
          <w:lang w:eastAsia="zh-CN"/>
        </w:rPr>
        <w:t>3</w:t>
      </w:r>
      <w:r>
        <w:rPr>
          <w:rFonts w:ascii="Times New Roman Regular" w:hAnsi="Times New Roman Regular" w:cs="Times New Roman Regular"/>
        </w:rPr>
        <w:t xml:space="preserve"> and </w:t>
      </w:r>
      <w:r>
        <w:rPr>
          <w:rFonts w:hint="eastAsia" w:ascii="Times New Roman Regular" w:hAnsi="Times New Roman Regular" w:cs="Times New Roman Regular"/>
          <w:lang w:eastAsia="zh-CN"/>
        </w:rPr>
        <w:t>0</w:t>
      </w:r>
      <w:r>
        <w:rPr>
          <w:rFonts w:ascii="Times New Roman Regular" w:hAnsi="Times New Roman Regular" w:cs="Times New Roman Regular"/>
        </w:rPr>
        <w:t>.</w:t>
      </w:r>
      <w:r>
        <w:rPr>
          <w:rFonts w:hint="eastAsia" w:ascii="Times New Roman Regular" w:hAnsi="Times New Roman Regular" w:cs="Times New Roman Regular"/>
          <w:lang w:eastAsia="zh-CN"/>
        </w:rPr>
        <w:t>1</w:t>
      </w:r>
      <w:r>
        <w:rPr>
          <w:rFonts w:ascii="Times New Roman Regular" w:hAnsi="Times New Roman Regular" w:cs="Times New Roman Regular"/>
        </w:rPr>
        <w:t>8. It was found that the posttest CT scores in the experimental group were higher than those of the control group, suggesting that the MRP group outperformed the CRP group on CT.</w:t>
      </w:r>
    </w:p>
    <w:p w14:paraId="731CD56F">
      <w:pPr>
        <w:pStyle w:val="20"/>
        <w:adjustRightInd w:val="0"/>
        <w:snapToGrid w:val="0"/>
        <w:spacing w:line="360" w:lineRule="auto"/>
        <w:ind w:left="0" w:leftChars="0" w:firstLine="566" w:firstLineChars="236"/>
        <w:jc w:val="both"/>
        <w:rPr>
          <w:rFonts w:ascii="Times New Roman" w:hAnsi="Times New Roman" w:cs="Times New Roman"/>
          <w:color w:val="C00000"/>
          <w:lang w:eastAsia="zh-CN"/>
        </w:rPr>
      </w:pPr>
      <w:r>
        <w:rPr>
          <w:rFonts w:ascii="Times New Roman" w:hAnsi="Times New Roman" w:cs="Times New Roman"/>
          <w:color w:val="C00000"/>
        </w:rPr>
        <w:t>Furthermore</w:t>
      </w:r>
      <w:r>
        <w:rPr>
          <w:rFonts w:hint="eastAsia" w:ascii="Times New Roman" w:hAnsi="Times New Roman" w:cs="Times New Roman"/>
          <w:color w:val="C00000"/>
          <w:lang w:eastAsia="zh-CN"/>
        </w:rPr>
        <w:t xml:space="preserve">, ANCOVA was performed to analyze each dimension of CT. </w:t>
      </w:r>
      <w:r>
        <w:rPr>
          <w:rFonts w:ascii="Times New Roman Regular" w:hAnsi="Times New Roman Regular" w:cs="Times New Roman Regular"/>
          <w:color w:val="C00000"/>
        </w:rPr>
        <w:t>The results showed that significant difference</w:t>
      </w:r>
      <w:r>
        <w:rPr>
          <w:rFonts w:ascii="Times New Roman Regular" w:hAnsi="Times New Roman Regular" w:cs="Times New Roman Regular"/>
          <w:color w:val="C00000"/>
          <w:lang w:eastAsia="zh-CN"/>
        </w:rPr>
        <w:t>s</w:t>
      </w:r>
      <w:r>
        <w:rPr>
          <w:rFonts w:ascii="Times New Roman Regular" w:hAnsi="Times New Roman Regular" w:cs="Times New Roman Regular"/>
          <w:color w:val="C00000"/>
        </w:rPr>
        <w:t xml:space="preserve"> </w:t>
      </w:r>
      <w:r>
        <w:rPr>
          <w:rFonts w:ascii="Times New Roman Regular" w:hAnsi="Times New Roman Regular" w:cs="Times New Roman Regular"/>
          <w:color w:val="C00000"/>
          <w:lang w:eastAsia="zh-CN"/>
        </w:rPr>
        <w:t xml:space="preserve">were reached between the two groups </w:t>
      </w:r>
      <w:r>
        <w:rPr>
          <w:rFonts w:ascii="Times New Roman Regular" w:hAnsi="Times New Roman Regular" w:cs="Times New Roman Regular"/>
          <w:color w:val="C00000"/>
        </w:rPr>
        <w:t xml:space="preserve">in </w:t>
      </w:r>
      <w:r>
        <w:rPr>
          <w:rFonts w:ascii="Times New Roman Regular" w:hAnsi="Times New Roman Regular" w:cs="Times New Roman Regular"/>
          <w:color w:val="C00000"/>
          <w:lang w:eastAsia="zh-CN"/>
        </w:rPr>
        <w:t>four dimensions of</w:t>
      </w:r>
      <w:r>
        <w:rPr>
          <w:rFonts w:hint="eastAsia" w:ascii="Times New Roman Regular" w:hAnsi="Times New Roman Regular" w:cs="Times New Roman Regular"/>
          <w:color w:val="C00000"/>
          <w:lang w:eastAsia="zh-CN"/>
        </w:rPr>
        <w:t xml:space="preserve"> CT, that is,</w:t>
      </w:r>
      <w:r>
        <w:rPr>
          <w:rFonts w:ascii="Times New Roman Regular" w:hAnsi="Times New Roman Regular" w:cs="Times New Roman Regular"/>
          <w:color w:val="C00000"/>
          <w:lang w:eastAsia="zh-CN"/>
        </w:rPr>
        <w:t xml:space="preserve"> a</w:t>
      </w:r>
      <w:r>
        <w:rPr>
          <w:rFonts w:ascii="Times New Roman Regular" w:hAnsi="Times New Roman Regular" w:cs="Times New Roman Regular"/>
          <w:color w:val="C00000"/>
        </w:rPr>
        <w:t>lgorithm</w:t>
      </w:r>
      <w:r>
        <w:rPr>
          <w:rFonts w:hint="eastAsia" w:ascii="Times New Roman Regular" w:hAnsi="Times New Roman Regular" w:cs="Times New Roman Regular"/>
          <w:color w:val="C00000"/>
          <w:lang w:eastAsia="zh-CN"/>
        </w:rPr>
        <w:t>/sequence</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rPr>
        <w:t>F</w:t>
      </w:r>
      <w:r>
        <w:rPr>
          <w:rFonts w:ascii="Times New Roman Regular" w:hAnsi="Times New Roman Regular" w:cs="Times New Roman Regular"/>
          <w:color w:val="C00000"/>
        </w:rPr>
        <w:t xml:space="preserve"> = </w:t>
      </w:r>
      <w:r>
        <w:rPr>
          <w:rFonts w:ascii="Times New Roman Regular" w:hAnsi="Times New Roman Regular" w:eastAsia="PMingLiU" w:cs="Times New Roman Regular"/>
          <w:color w:val="C00000"/>
          <w:lang w:eastAsia="zh-CN"/>
        </w:rPr>
        <w:t>26.80</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rPr>
        <w:t xml:space="preserve">p </w:t>
      </w:r>
      <w:r>
        <w:rPr>
          <w:rFonts w:ascii="Times New Roman Regular" w:hAnsi="Times New Roman Regular" w:cs="Times New Roman Regular"/>
          <w:color w:val="C00000"/>
        </w:rPr>
        <w:t xml:space="preserve">&lt; .001, </w:t>
      </w:r>
      <w:r>
        <w:rPr>
          <w:rFonts w:ascii="Times New Roman Regular" w:hAnsi="Times New Roman Regular" w:cs="Times New Roman Regular"/>
          <w:i/>
          <w:iCs/>
          <w:color w:val="C00000"/>
          <w:lang w:eastAsia="zh-Hans"/>
        </w:rPr>
        <w:t>η</w:t>
      </w:r>
      <w:r>
        <w:rPr>
          <w:rFonts w:ascii="Times New Roman Regular" w:hAnsi="Times New Roman Regular" w:cs="Times New Roman Regular"/>
          <w:color w:val="C00000"/>
          <w:vertAlign w:val="superscript"/>
          <w:lang w:eastAsia="zh-Hans"/>
        </w:rPr>
        <w:t>2</w:t>
      </w:r>
      <w:r>
        <w:rPr>
          <w:rFonts w:ascii="Times New Roman Regular" w:hAnsi="Times New Roman Regular" w:cs="Times New Roman Regular"/>
          <w:color w:val="C00000"/>
          <w:lang w:eastAsia="zh-Hans"/>
        </w:rPr>
        <w:t xml:space="preserve"> </w:t>
      </w:r>
      <w:r>
        <w:rPr>
          <w:rFonts w:ascii="Times New Roman Regular" w:hAnsi="Times New Roman Regular" w:cs="Times New Roman Regular"/>
          <w:color w:val="C00000"/>
        </w:rPr>
        <w:t>= 0.</w:t>
      </w:r>
      <w:r>
        <w:rPr>
          <w:rFonts w:ascii="Times New Roman Regular" w:hAnsi="Times New Roman Regular" w:cs="Times New Roman Regular"/>
          <w:color w:val="C00000"/>
          <w:lang w:eastAsia="zh-CN"/>
        </w:rPr>
        <w:t>17</w:t>
      </w:r>
      <w:r>
        <w:rPr>
          <w:rFonts w:ascii="Times New Roman Regular" w:hAnsi="Times New Roman Regular" w:cs="Times New Roman Regular"/>
          <w:color w:val="C00000"/>
        </w:rPr>
        <w:t>)</w:t>
      </w:r>
      <w:r>
        <w:rPr>
          <w:rFonts w:hint="eastAsia" w:ascii="Times New Roman Regular" w:hAnsi="Times New Roman Regular" w:cs="Times New Roman Regular"/>
          <w:color w:val="C00000"/>
          <w:lang w:eastAsia="zh-CN"/>
        </w:rPr>
        <w:t xml:space="preserve">, </w:t>
      </w:r>
      <w:r>
        <w:rPr>
          <w:rFonts w:hint="eastAsia" w:ascii="Times New Roman" w:hAnsi="Times New Roman" w:cs="Times New Roman"/>
          <w:color w:val="C00000"/>
          <w:lang w:eastAsia="zh-CN"/>
        </w:rPr>
        <w:t>r</w:t>
      </w:r>
      <w:r>
        <w:rPr>
          <w:rFonts w:hint="eastAsia" w:ascii="Times New Roman" w:hAnsi="Times New Roman" w:cs="Times New Roman"/>
          <w:color w:val="C00000"/>
        </w:rPr>
        <w:t>epresentation</w:t>
      </w:r>
      <w:r>
        <w:rPr>
          <w:rFonts w:ascii="Times New Roman Regular" w:hAnsi="Times New Roman Regular" w:cs="Times New Roman Regular"/>
          <w:color w:val="C00000"/>
          <w:lang w:eastAsia="zh-CN"/>
        </w:rPr>
        <w:t xml:space="preserve"> </w:t>
      </w:r>
      <w:r>
        <w:rPr>
          <w:rFonts w:ascii="Times New Roman Regular" w:hAnsi="Times New Roman Regular" w:cs="Times New Roman Regular"/>
          <w:color w:val="C00000"/>
        </w:rPr>
        <w:t>(</w:t>
      </w:r>
      <w:r>
        <w:rPr>
          <w:rFonts w:ascii="Times New Roman Regular" w:hAnsi="Times New Roman Regular" w:cs="Times New Roman Regular"/>
          <w:i/>
          <w:iCs/>
          <w:color w:val="C00000"/>
        </w:rPr>
        <w:t>F</w:t>
      </w:r>
      <w:r>
        <w:rPr>
          <w:rFonts w:ascii="Times New Roman Regular" w:hAnsi="Times New Roman Regular" w:cs="Times New Roman Regular"/>
          <w:color w:val="C00000"/>
        </w:rPr>
        <w:t xml:space="preserve"> = </w:t>
      </w:r>
      <w:r>
        <w:rPr>
          <w:rFonts w:hint="eastAsia" w:ascii="Times New Roman Regular" w:hAnsi="Times New Roman Regular" w:eastAsia="PMingLiU" w:cs="Times New Roman Regular"/>
          <w:color w:val="C00000"/>
          <w:lang w:eastAsia="zh-CN"/>
        </w:rPr>
        <w:t>5.90</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rPr>
        <w:t xml:space="preserve">p </w:t>
      </w:r>
      <w:r>
        <w:rPr>
          <w:rFonts w:ascii="Times New Roman Regular" w:hAnsi="Times New Roman Regular" w:cs="Times New Roman Regular"/>
          <w:color w:val="C00000"/>
        </w:rPr>
        <w:t>&lt; .0</w:t>
      </w:r>
      <w:r>
        <w:rPr>
          <w:rFonts w:hint="eastAsia" w:ascii="Times New Roman Regular" w:hAnsi="Times New Roman Regular" w:cs="Times New Roman Regular"/>
          <w:color w:val="C00000"/>
          <w:lang w:eastAsia="zh-CN"/>
        </w:rPr>
        <w:t>5</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lang w:eastAsia="zh-Hans"/>
        </w:rPr>
        <w:t>η</w:t>
      </w:r>
      <w:r>
        <w:rPr>
          <w:rFonts w:ascii="Times New Roman Regular" w:hAnsi="Times New Roman Regular" w:cs="Times New Roman Regular"/>
          <w:color w:val="C00000"/>
          <w:vertAlign w:val="superscript"/>
          <w:lang w:eastAsia="zh-Hans"/>
        </w:rPr>
        <w:t>2</w:t>
      </w:r>
      <w:r>
        <w:rPr>
          <w:rFonts w:ascii="Times New Roman Regular" w:hAnsi="Times New Roman Regular" w:cs="Times New Roman Regular"/>
          <w:color w:val="C00000"/>
          <w:lang w:eastAsia="zh-Hans"/>
        </w:rPr>
        <w:t xml:space="preserve"> </w:t>
      </w:r>
      <w:r>
        <w:rPr>
          <w:rFonts w:ascii="Times New Roman Regular" w:hAnsi="Times New Roman Regular" w:cs="Times New Roman Regular"/>
          <w:color w:val="C00000"/>
        </w:rPr>
        <w:t>= 0.</w:t>
      </w:r>
      <w:r>
        <w:rPr>
          <w:rFonts w:hint="eastAsia" w:ascii="Times New Roman Regular" w:hAnsi="Times New Roman Regular" w:cs="Times New Roman Regular"/>
          <w:color w:val="C00000"/>
          <w:lang w:eastAsia="zh-CN"/>
        </w:rPr>
        <w:t>04</w:t>
      </w:r>
      <w:r>
        <w:rPr>
          <w:rFonts w:ascii="Times New Roman Regular" w:hAnsi="Times New Roman Regular" w:cs="Times New Roman Regular"/>
          <w:color w:val="C00000"/>
        </w:rPr>
        <w:t>)</w:t>
      </w:r>
      <w:r>
        <w:rPr>
          <w:rFonts w:hint="eastAsia" w:ascii="Times New Roman Regular" w:hAnsi="Times New Roman Regular" w:cs="Times New Roman Regular"/>
          <w:color w:val="C00000"/>
          <w:lang w:eastAsia="zh-CN"/>
        </w:rPr>
        <w:t xml:space="preserve">, control structure </w:t>
      </w:r>
      <w:r>
        <w:rPr>
          <w:rFonts w:ascii="Times New Roman Regular" w:hAnsi="Times New Roman Regular" w:cs="Times New Roman Regular"/>
          <w:color w:val="C00000"/>
        </w:rPr>
        <w:t>(</w:t>
      </w:r>
      <w:r>
        <w:rPr>
          <w:rFonts w:ascii="Times New Roman Regular" w:hAnsi="Times New Roman Regular" w:cs="Times New Roman Regular"/>
          <w:i/>
          <w:iCs/>
          <w:color w:val="C00000"/>
        </w:rPr>
        <w:t>F</w:t>
      </w:r>
      <w:r>
        <w:rPr>
          <w:rFonts w:ascii="Times New Roman Regular" w:hAnsi="Times New Roman Regular" w:cs="Times New Roman Regular"/>
          <w:color w:val="C00000"/>
        </w:rPr>
        <w:t xml:space="preserve"> = </w:t>
      </w:r>
      <w:r>
        <w:rPr>
          <w:rFonts w:hint="eastAsia" w:ascii="Times New Roman Regular" w:hAnsi="Times New Roman Regular" w:eastAsia="PMingLiU" w:cs="Times New Roman Regular"/>
          <w:color w:val="C00000"/>
          <w:lang w:eastAsia="zh-CN"/>
        </w:rPr>
        <w:t>5.17</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rPr>
        <w:t xml:space="preserve">p </w:t>
      </w:r>
      <w:r>
        <w:rPr>
          <w:rFonts w:ascii="Times New Roman Regular" w:hAnsi="Times New Roman Regular" w:cs="Times New Roman Regular"/>
          <w:color w:val="C00000"/>
        </w:rPr>
        <w:t>&lt; .0</w:t>
      </w:r>
      <w:r>
        <w:rPr>
          <w:rFonts w:hint="eastAsia" w:ascii="Times New Roman Regular" w:hAnsi="Times New Roman Regular" w:cs="Times New Roman Regular"/>
          <w:color w:val="C00000"/>
          <w:lang w:eastAsia="zh-CN"/>
        </w:rPr>
        <w:t>5</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lang w:eastAsia="zh-Hans"/>
        </w:rPr>
        <w:t>η</w:t>
      </w:r>
      <w:r>
        <w:rPr>
          <w:rFonts w:ascii="Times New Roman Regular" w:hAnsi="Times New Roman Regular" w:cs="Times New Roman Regular"/>
          <w:color w:val="C00000"/>
          <w:vertAlign w:val="superscript"/>
          <w:lang w:eastAsia="zh-Hans"/>
        </w:rPr>
        <w:t>2</w:t>
      </w:r>
      <w:r>
        <w:rPr>
          <w:rFonts w:ascii="Times New Roman Regular" w:hAnsi="Times New Roman Regular" w:cs="Times New Roman Regular"/>
          <w:color w:val="C00000"/>
          <w:lang w:eastAsia="zh-Hans"/>
        </w:rPr>
        <w:t xml:space="preserve"> </w:t>
      </w:r>
      <w:r>
        <w:rPr>
          <w:rFonts w:ascii="Times New Roman Regular" w:hAnsi="Times New Roman Regular" w:cs="Times New Roman Regular"/>
          <w:color w:val="C00000"/>
        </w:rPr>
        <w:t>= 0.</w:t>
      </w:r>
      <w:r>
        <w:rPr>
          <w:rFonts w:hint="eastAsia" w:ascii="Times New Roman Regular" w:hAnsi="Times New Roman Regular" w:cs="Times New Roman Regular"/>
          <w:color w:val="C00000"/>
          <w:lang w:eastAsia="zh-CN"/>
        </w:rPr>
        <w:t>04</w:t>
      </w:r>
      <w:r>
        <w:rPr>
          <w:rFonts w:ascii="Times New Roman Regular" w:hAnsi="Times New Roman Regular" w:cs="Times New Roman Regular"/>
          <w:color w:val="C00000"/>
        </w:rPr>
        <w:t>)</w:t>
      </w:r>
      <w:r>
        <w:rPr>
          <w:rFonts w:hint="eastAsia" w:ascii="Times New Roman Regular" w:hAnsi="Times New Roman Regular" w:cs="Times New Roman Regular"/>
          <w:color w:val="C00000"/>
          <w:lang w:eastAsia="zh-CN"/>
        </w:rPr>
        <w:t xml:space="preserve">, and debugging </w:t>
      </w:r>
      <w:r>
        <w:rPr>
          <w:rFonts w:ascii="Times New Roman Regular" w:hAnsi="Times New Roman Regular" w:cs="Times New Roman Regular"/>
          <w:color w:val="C00000"/>
        </w:rPr>
        <w:t>(</w:t>
      </w:r>
      <w:r>
        <w:rPr>
          <w:rFonts w:ascii="Times New Roman Regular" w:hAnsi="Times New Roman Regular" w:cs="Times New Roman Regular"/>
          <w:i/>
          <w:iCs/>
          <w:color w:val="C00000"/>
        </w:rPr>
        <w:t>F</w:t>
      </w:r>
      <w:r>
        <w:rPr>
          <w:rFonts w:ascii="Times New Roman Regular" w:hAnsi="Times New Roman Regular" w:cs="Times New Roman Regular"/>
          <w:color w:val="C00000"/>
        </w:rPr>
        <w:t xml:space="preserve"> = </w:t>
      </w:r>
      <w:r>
        <w:rPr>
          <w:rFonts w:ascii="Times New Roman Regular" w:hAnsi="Times New Roman Regular" w:eastAsia="PMingLiU" w:cs="Times New Roman Regular"/>
          <w:color w:val="C00000"/>
          <w:lang w:eastAsia="zh-CN"/>
        </w:rPr>
        <w:t>2</w:t>
      </w:r>
      <w:r>
        <w:rPr>
          <w:rFonts w:hint="eastAsia" w:ascii="Times New Roman Regular" w:hAnsi="Times New Roman Regular" w:eastAsia="PMingLiU" w:cs="Times New Roman Regular"/>
          <w:color w:val="C00000"/>
          <w:lang w:eastAsia="zh-CN"/>
        </w:rPr>
        <w:t>0</w:t>
      </w:r>
      <w:r>
        <w:rPr>
          <w:rFonts w:ascii="Times New Roman Regular" w:hAnsi="Times New Roman Regular" w:eastAsia="PMingLiU" w:cs="Times New Roman Regular"/>
          <w:color w:val="C00000"/>
          <w:lang w:eastAsia="zh-CN"/>
        </w:rPr>
        <w:t>.</w:t>
      </w:r>
      <w:r>
        <w:rPr>
          <w:rFonts w:hint="eastAsia" w:ascii="Times New Roman Regular" w:hAnsi="Times New Roman Regular" w:eastAsia="PMingLiU" w:cs="Times New Roman Regular"/>
          <w:color w:val="C00000"/>
          <w:lang w:eastAsia="zh-CN"/>
        </w:rPr>
        <w:t>28</w:t>
      </w:r>
      <w:r>
        <w:rPr>
          <w:rFonts w:ascii="Times New Roman Regular" w:hAnsi="Times New Roman Regular" w:cs="Times New Roman Regular"/>
          <w:color w:val="C00000"/>
        </w:rPr>
        <w:t xml:space="preserve">, </w:t>
      </w:r>
      <w:r>
        <w:rPr>
          <w:rFonts w:ascii="Times New Roman Regular" w:hAnsi="Times New Roman Regular" w:cs="Times New Roman Regular"/>
          <w:i/>
          <w:iCs/>
          <w:color w:val="C00000"/>
        </w:rPr>
        <w:t xml:space="preserve">p </w:t>
      </w:r>
      <w:r>
        <w:rPr>
          <w:rFonts w:ascii="Times New Roman Regular" w:hAnsi="Times New Roman Regular" w:cs="Times New Roman Regular"/>
          <w:color w:val="C00000"/>
        </w:rPr>
        <w:t xml:space="preserve">&lt; .001, </w:t>
      </w:r>
      <w:r>
        <w:rPr>
          <w:rFonts w:ascii="Times New Roman Regular" w:hAnsi="Times New Roman Regular" w:cs="Times New Roman Regular"/>
          <w:i/>
          <w:iCs/>
          <w:color w:val="C00000"/>
          <w:lang w:eastAsia="zh-Hans"/>
        </w:rPr>
        <w:t>η</w:t>
      </w:r>
      <w:r>
        <w:rPr>
          <w:rFonts w:ascii="Times New Roman Regular" w:hAnsi="Times New Roman Regular" w:cs="Times New Roman Regular"/>
          <w:color w:val="C00000"/>
          <w:vertAlign w:val="superscript"/>
          <w:lang w:eastAsia="zh-Hans"/>
        </w:rPr>
        <w:t>2</w:t>
      </w:r>
      <w:r>
        <w:rPr>
          <w:rFonts w:ascii="Times New Roman Regular" w:hAnsi="Times New Roman Regular" w:cs="Times New Roman Regular"/>
          <w:color w:val="C00000"/>
          <w:lang w:eastAsia="zh-Hans"/>
        </w:rPr>
        <w:t xml:space="preserve"> </w:t>
      </w:r>
      <w:r>
        <w:rPr>
          <w:rFonts w:ascii="Times New Roman Regular" w:hAnsi="Times New Roman Regular" w:cs="Times New Roman Regular"/>
          <w:color w:val="C00000"/>
        </w:rPr>
        <w:t>= 0.</w:t>
      </w:r>
      <w:r>
        <w:rPr>
          <w:rFonts w:ascii="Times New Roman Regular" w:hAnsi="Times New Roman Regular" w:cs="Times New Roman Regular"/>
          <w:color w:val="C00000"/>
          <w:lang w:eastAsia="zh-CN"/>
        </w:rPr>
        <w:t>1</w:t>
      </w:r>
      <w:r>
        <w:rPr>
          <w:rFonts w:hint="eastAsia" w:ascii="Times New Roman Regular" w:hAnsi="Times New Roman Regular" w:cs="Times New Roman Regular"/>
          <w:color w:val="C00000"/>
          <w:lang w:eastAsia="zh-CN"/>
        </w:rPr>
        <w:t>1</w:t>
      </w:r>
      <w:r>
        <w:rPr>
          <w:rFonts w:ascii="Times New Roman Regular" w:hAnsi="Times New Roman Regular" w:cs="Times New Roman Regular"/>
          <w:color w:val="C00000"/>
        </w:rPr>
        <w:t>)</w:t>
      </w:r>
      <w:r>
        <w:rPr>
          <w:rFonts w:hint="eastAsia" w:ascii="Times New Roman Regular" w:hAnsi="Times New Roman Regular" w:cs="Times New Roman Regular"/>
          <w:color w:val="C00000"/>
          <w:lang w:eastAsia="zh-CN"/>
        </w:rPr>
        <w:t>,</w:t>
      </w:r>
      <w:r>
        <w:rPr>
          <w:rFonts w:ascii="Times New Roman Regular" w:hAnsi="Times New Roman Regular" w:cs="Times New Roman Regular"/>
          <w:color w:val="C00000"/>
          <w:lang w:eastAsia="zh-CN"/>
        </w:rPr>
        <w:t xml:space="preserve"> impl</w:t>
      </w:r>
      <w:r>
        <w:rPr>
          <w:rFonts w:hint="eastAsia" w:ascii="Times New Roman Regular" w:hAnsi="Times New Roman Regular" w:cs="Times New Roman Regular"/>
          <w:color w:val="C00000"/>
          <w:lang w:eastAsia="zh-CN"/>
        </w:rPr>
        <w:t>y</w:t>
      </w:r>
      <w:r>
        <w:rPr>
          <w:rFonts w:ascii="Times New Roman Regular" w:hAnsi="Times New Roman Regular" w:cs="Times New Roman Regular"/>
          <w:color w:val="C00000"/>
          <w:lang w:eastAsia="zh-CN"/>
        </w:rPr>
        <w:t>i</w:t>
      </w:r>
      <w:r>
        <w:rPr>
          <w:rFonts w:hint="eastAsia" w:ascii="Times New Roman Regular" w:hAnsi="Times New Roman Regular" w:cs="Times New Roman Regular"/>
          <w:color w:val="C00000"/>
          <w:lang w:eastAsia="zh-CN"/>
        </w:rPr>
        <w:t>ng</w:t>
      </w:r>
      <w:r>
        <w:rPr>
          <w:rFonts w:ascii="Times New Roman Regular" w:hAnsi="Times New Roman Regular" w:cs="Times New Roman Regular"/>
          <w:color w:val="C00000"/>
          <w:lang w:eastAsia="zh-CN"/>
        </w:rPr>
        <w:t xml:space="preserve"> that </w:t>
      </w:r>
      <w:r>
        <w:rPr>
          <w:rFonts w:ascii="Times New Roman Regular" w:hAnsi="Times New Roman Regular" w:cs="Times New Roman Regular"/>
          <w:color w:val="C00000"/>
        </w:rPr>
        <w:t xml:space="preserve">the MRP </w:t>
      </w:r>
      <w:r>
        <w:rPr>
          <w:rFonts w:hint="eastAsia" w:ascii="Times New Roman Regular" w:hAnsi="Times New Roman Regular" w:cs="Times New Roman Regular"/>
          <w:color w:val="C00000"/>
          <w:lang w:eastAsia="zh-CN"/>
        </w:rPr>
        <w:t>approach</w:t>
      </w:r>
      <w:r>
        <w:rPr>
          <w:rFonts w:ascii="Times New Roman Regular" w:hAnsi="Times New Roman Regular" w:cs="Times New Roman Regular"/>
          <w:color w:val="C00000"/>
        </w:rPr>
        <w:t xml:space="preserve"> </w:t>
      </w:r>
      <w:r>
        <w:rPr>
          <w:rFonts w:ascii="Times New Roman Regular" w:hAnsi="Times New Roman Regular" w:cs="Times New Roman Regular"/>
          <w:color w:val="C00000"/>
          <w:lang w:eastAsia="zh-CN"/>
        </w:rPr>
        <w:t xml:space="preserve">could be </w:t>
      </w:r>
      <w:r>
        <w:rPr>
          <w:rFonts w:hint="eastAsia" w:ascii="Times New Roman Regular" w:hAnsi="Times New Roman Regular" w:cs="Times New Roman Regular"/>
          <w:color w:val="C00000"/>
          <w:lang w:eastAsia="zh-CN"/>
        </w:rPr>
        <w:t xml:space="preserve">more </w:t>
      </w:r>
      <w:r>
        <w:rPr>
          <w:rFonts w:ascii="Times New Roman Regular" w:hAnsi="Times New Roman Regular" w:cs="Times New Roman Regular"/>
          <w:color w:val="C00000"/>
          <w:lang w:eastAsia="zh-CN"/>
        </w:rPr>
        <w:t xml:space="preserve">conducive to </w:t>
      </w:r>
      <w:r>
        <w:rPr>
          <w:rFonts w:hint="eastAsia" w:ascii="Times New Roman Regular" w:hAnsi="Times New Roman Regular" w:cs="Times New Roman Regular"/>
          <w:color w:val="C00000"/>
          <w:lang w:eastAsia="zh-CN"/>
        </w:rPr>
        <w:t>facilitating children</w:t>
      </w:r>
      <w:r>
        <w:rPr>
          <w:rFonts w:ascii="Times New Roman Regular" w:hAnsi="Times New Roman Regular" w:cs="Times New Roman Regular"/>
          <w:color w:val="C00000"/>
          <w:lang w:eastAsia="zh-CN"/>
        </w:rPr>
        <w:t>’</w:t>
      </w:r>
      <w:r>
        <w:rPr>
          <w:rFonts w:hint="eastAsia" w:ascii="Times New Roman Regular" w:hAnsi="Times New Roman Regular" w:cs="Times New Roman Regular"/>
          <w:color w:val="C00000"/>
          <w:lang w:eastAsia="zh-CN"/>
        </w:rPr>
        <w:t>s</w:t>
      </w:r>
      <w:r>
        <w:rPr>
          <w:rFonts w:ascii="Times New Roman Regular" w:hAnsi="Times New Roman Regular" w:cs="Times New Roman Regular"/>
          <w:color w:val="C00000"/>
          <w:lang w:eastAsia="zh-CN"/>
        </w:rPr>
        <w:t xml:space="preserve"> learning</w:t>
      </w:r>
      <w:r>
        <w:rPr>
          <w:rFonts w:hint="eastAsia" w:ascii="Times New Roman Regular" w:hAnsi="Times New Roman Regular" w:cs="Times New Roman Regular"/>
          <w:color w:val="C00000"/>
          <w:lang w:eastAsia="zh-CN"/>
        </w:rPr>
        <w:t xml:space="preserve"> </w:t>
      </w:r>
      <w:r>
        <w:rPr>
          <w:rFonts w:ascii="Times New Roman Regular" w:hAnsi="Times New Roman Regular" w:cs="Times New Roman Regular"/>
          <w:color w:val="C00000"/>
          <w:lang w:eastAsia="zh-CN"/>
        </w:rPr>
        <w:t>of a</w:t>
      </w:r>
      <w:r>
        <w:rPr>
          <w:rFonts w:ascii="Times New Roman Regular" w:hAnsi="Times New Roman Regular" w:cs="Times New Roman Regular"/>
          <w:color w:val="C00000"/>
        </w:rPr>
        <w:t>lgorithm</w:t>
      </w:r>
      <w:r>
        <w:rPr>
          <w:rFonts w:hint="eastAsia" w:ascii="Times New Roman Regular" w:hAnsi="Times New Roman Regular" w:cs="Times New Roman Regular"/>
          <w:color w:val="C00000"/>
          <w:lang w:eastAsia="zh-CN"/>
        </w:rPr>
        <w:t xml:space="preserve">/sequence, </w:t>
      </w:r>
      <w:r>
        <w:rPr>
          <w:rFonts w:hint="eastAsia" w:ascii="Times New Roman" w:hAnsi="Times New Roman" w:cs="Times New Roman"/>
          <w:color w:val="C00000"/>
          <w:lang w:eastAsia="zh-CN"/>
        </w:rPr>
        <w:t>r</w:t>
      </w:r>
      <w:r>
        <w:rPr>
          <w:rFonts w:hint="eastAsia" w:ascii="Times New Roman" w:hAnsi="Times New Roman" w:cs="Times New Roman"/>
          <w:color w:val="C00000"/>
        </w:rPr>
        <w:t>epresentation</w:t>
      </w:r>
      <w:r>
        <w:rPr>
          <w:rFonts w:hint="eastAsia" w:ascii="Times New Roman Regular" w:hAnsi="Times New Roman Regular" w:cs="Times New Roman Regular"/>
          <w:color w:val="C00000"/>
          <w:lang w:eastAsia="zh-CN"/>
        </w:rPr>
        <w:t xml:space="preserve">, control structure (covering loops), and debugging than </w:t>
      </w:r>
      <w:r>
        <w:rPr>
          <w:rFonts w:ascii="Times New Roman Regular" w:hAnsi="Times New Roman Regular" w:cs="Times New Roman Regular"/>
          <w:color w:val="C00000"/>
        </w:rPr>
        <w:t xml:space="preserve">the CRP </w:t>
      </w:r>
      <w:r>
        <w:rPr>
          <w:rFonts w:hint="eastAsia" w:ascii="Times New Roman Regular" w:hAnsi="Times New Roman Regular" w:cs="Times New Roman Regular"/>
          <w:color w:val="C00000"/>
          <w:lang w:eastAsia="zh-CN"/>
        </w:rPr>
        <w:t>approach</w:t>
      </w:r>
      <w:r>
        <w:rPr>
          <w:rFonts w:ascii="Times New Roman Regular" w:hAnsi="Times New Roman Regular" w:cs="Times New Roman Regular"/>
          <w:color w:val="C00000"/>
          <w:lang w:eastAsia="zh-CN"/>
        </w:rPr>
        <w:t xml:space="preserve">. </w:t>
      </w:r>
    </w:p>
    <w:p w14:paraId="7E0FD34D">
      <w:pPr>
        <w:pStyle w:val="20"/>
        <w:adjustRightInd w:val="0"/>
        <w:snapToGrid w:val="0"/>
        <w:spacing w:line="360" w:lineRule="auto"/>
        <w:ind w:left="0" w:leftChars="0"/>
        <w:jc w:val="both"/>
        <w:rPr>
          <w:rFonts w:ascii="Times New Roman" w:hAnsi="Times New Roman" w:cs="Times New Roman"/>
          <w:lang w:eastAsia="zh-CN"/>
        </w:rPr>
      </w:pPr>
    </w:p>
    <w:p w14:paraId="304FF16F">
      <w:pPr>
        <w:spacing w:line="360" w:lineRule="auto"/>
        <w:rPr>
          <w:rFonts w:ascii="Times New Roman" w:hAnsi="Times New Roman" w:eastAsia="PMingLiU" w:cs="Times New Roman"/>
        </w:rPr>
      </w:pPr>
      <w:r>
        <w:rPr>
          <w:rFonts w:ascii="Times New Roman" w:hAnsi="Times New Roman" w:eastAsia="PMingLiU" w:cs="Times New Roman"/>
        </w:rPr>
        <w:t xml:space="preserve">Table </w:t>
      </w:r>
      <w:r>
        <w:rPr>
          <w:rFonts w:hint="eastAsia" w:ascii="Times New Roman" w:hAnsi="Times New Roman" w:eastAsia="PMingLiU" w:cs="Times New Roman"/>
        </w:rPr>
        <w:t>3</w:t>
      </w:r>
      <w:r>
        <w:rPr>
          <w:rFonts w:ascii="Times New Roman" w:hAnsi="Times New Roman" w:eastAsia="PMingLiU" w:cs="Times New Roman"/>
        </w:rPr>
        <w:t>. The results of ANCOVA for posttest CT scores of the experimental and control groups.</w:t>
      </w:r>
    </w:p>
    <w:tbl>
      <w:tblPr>
        <w:tblStyle w:val="10"/>
        <w:tblW w:w="11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5"/>
        <w:gridCol w:w="1526"/>
        <w:gridCol w:w="647"/>
        <w:gridCol w:w="890"/>
        <w:gridCol w:w="842"/>
        <w:gridCol w:w="1698"/>
        <w:gridCol w:w="1193"/>
        <w:gridCol w:w="1293"/>
        <w:gridCol w:w="757"/>
      </w:tblGrid>
      <w:tr w14:paraId="16DD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2285" w:type="dxa"/>
            <w:tcBorders>
              <w:top w:val="single" w:color="auto" w:sz="12" w:space="0"/>
              <w:left w:val="nil"/>
              <w:bottom w:val="single" w:color="auto" w:sz="4" w:space="0"/>
              <w:right w:val="nil"/>
            </w:tcBorders>
          </w:tcPr>
          <w:p w14:paraId="542280E1">
            <w:pPr>
              <w:rPr>
                <w:rFonts w:ascii="Times New Roman" w:hAnsi="Times New Roman" w:eastAsia="PMingLiU" w:cs="Times New Roman"/>
                <w:lang w:eastAsia="zh-CN"/>
              </w:rPr>
            </w:pPr>
            <w:r>
              <w:rPr>
                <w:rFonts w:hint="eastAsia" w:ascii="Times New Roman" w:hAnsi="Times New Roman" w:eastAsia="PMingLiU" w:cs="Times New Roman"/>
                <w:lang w:eastAsia="zh-CN"/>
              </w:rPr>
              <w:t>Dimension</w:t>
            </w:r>
          </w:p>
        </w:tc>
        <w:tc>
          <w:tcPr>
            <w:tcW w:w="1526" w:type="dxa"/>
            <w:tcBorders>
              <w:top w:val="single" w:color="auto" w:sz="12" w:space="0"/>
              <w:left w:val="nil"/>
              <w:bottom w:val="single" w:color="auto" w:sz="4" w:space="0"/>
              <w:right w:val="nil"/>
            </w:tcBorders>
          </w:tcPr>
          <w:p w14:paraId="2D939D9A">
            <w:pPr>
              <w:rPr>
                <w:rFonts w:ascii="Times New Roman" w:hAnsi="Times New Roman" w:eastAsia="PMingLiU" w:cs="Times New Roman"/>
              </w:rPr>
            </w:pPr>
            <w:r>
              <w:rPr>
                <w:rFonts w:ascii="Times New Roman" w:hAnsi="Times New Roman" w:eastAsia="PMingLiU" w:cs="Times New Roman"/>
              </w:rPr>
              <w:t>Group</w:t>
            </w:r>
          </w:p>
        </w:tc>
        <w:tc>
          <w:tcPr>
            <w:tcW w:w="647" w:type="dxa"/>
            <w:tcBorders>
              <w:top w:val="single" w:color="auto" w:sz="12" w:space="0"/>
              <w:left w:val="nil"/>
              <w:bottom w:val="single" w:color="auto" w:sz="4" w:space="0"/>
              <w:right w:val="nil"/>
            </w:tcBorders>
          </w:tcPr>
          <w:p w14:paraId="5B131F1E">
            <w:pPr>
              <w:jc w:val="center"/>
              <w:rPr>
                <w:rFonts w:ascii="Times New Roman" w:hAnsi="Times New Roman" w:eastAsia="PMingLiU" w:cs="Times New Roman"/>
              </w:rPr>
            </w:pPr>
            <w:r>
              <w:rPr>
                <w:rFonts w:ascii="Times New Roman Italic" w:hAnsi="Times New Roman Italic" w:eastAsia="PMingLiU" w:cs="Times New Roman Italic"/>
                <w:i/>
                <w:iCs/>
              </w:rPr>
              <w:t>N</w:t>
            </w:r>
          </w:p>
        </w:tc>
        <w:tc>
          <w:tcPr>
            <w:tcW w:w="890" w:type="dxa"/>
            <w:tcBorders>
              <w:top w:val="single" w:color="auto" w:sz="12" w:space="0"/>
              <w:left w:val="nil"/>
              <w:bottom w:val="single" w:color="auto" w:sz="4" w:space="0"/>
              <w:right w:val="nil"/>
            </w:tcBorders>
          </w:tcPr>
          <w:p w14:paraId="1487A265">
            <w:pPr>
              <w:jc w:val="center"/>
              <w:rPr>
                <w:rFonts w:ascii="Times New Roman" w:hAnsi="Times New Roman" w:eastAsia="PMingLiU" w:cs="Times New Roman"/>
              </w:rPr>
            </w:pPr>
            <w:r>
              <w:rPr>
                <w:rFonts w:ascii="Times New Roman" w:hAnsi="Times New Roman" w:eastAsia="PMingLiU" w:cs="Times New Roman"/>
              </w:rPr>
              <w:t>Mean</w:t>
            </w:r>
          </w:p>
        </w:tc>
        <w:tc>
          <w:tcPr>
            <w:tcW w:w="842" w:type="dxa"/>
            <w:tcBorders>
              <w:top w:val="single" w:color="auto" w:sz="12" w:space="0"/>
              <w:left w:val="nil"/>
              <w:bottom w:val="single" w:color="auto" w:sz="4" w:space="0"/>
              <w:right w:val="nil"/>
            </w:tcBorders>
          </w:tcPr>
          <w:p w14:paraId="5839F1B9">
            <w:pPr>
              <w:jc w:val="center"/>
              <w:rPr>
                <w:rFonts w:ascii="Times New Roman" w:hAnsi="Times New Roman" w:eastAsia="PMingLiU" w:cs="Times New Roman"/>
              </w:rPr>
            </w:pPr>
            <w:r>
              <w:rPr>
                <w:rFonts w:ascii="Times New Roman Italic" w:hAnsi="Times New Roman Italic" w:eastAsia="PMingLiU" w:cs="Times New Roman Italic"/>
                <w:i/>
                <w:iCs/>
              </w:rPr>
              <w:t>SD</w:t>
            </w:r>
          </w:p>
        </w:tc>
        <w:tc>
          <w:tcPr>
            <w:tcW w:w="1698" w:type="dxa"/>
            <w:tcBorders>
              <w:top w:val="single" w:color="auto" w:sz="12" w:space="0"/>
              <w:left w:val="nil"/>
              <w:bottom w:val="single" w:color="auto" w:sz="4" w:space="0"/>
              <w:right w:val="nil"/>
            </w:tcBorders>
          </w:tcPr>
          <w:p w14:paraId="129BC2F3">
            <w:pPr>
              <w:jc w:val="center"/>
              <w:rPr>
                <w:rFonts w:ascii="Times New Roman" w:hAnsi="Times New Roman" w:eastAsia="PMingLiU" w:cs="Times New Roman"/>
              </w:rPr>
            </w:pPr>
            <w:r>
              <w:rPr>
                <w:rFonts w:ascii="Times New Roman" w:hAnsi="Times New Roman" w:eastAsia="PMingLiU" w:cs="Times New Roman"/>
              </w:rPr>
              <w:t>Adjusted Mean</w:t>
            </w:r>
          </w:p>
        </w:tc>
        <w:tc>
          <w:tcPr>
            <w:tcW w:w="1193" w:type="dxa"/>
            <w:tcBorders>
              <w:top w:val="single" w:color="auto" w:sz="12" w:space="0"/>
              <w:left w:val="nil"/>
              <w:bottom w:val="single" w:color="auto" w:sz="4" w:space="0"/>
              <w:right w:val="nil"/>
            </w:tcBorders>
          </w:tcPr>
          <w:p w14:paraId="3BB5BB67">
            <w:pPr>
              <w:jc w:val="center"/>
              <w:rPr>
                <w:rFonts w:ascii="Times New Roman" w:hAnsi="Times New Roman" w:eastAsia="PMingLiU" w:cs="Times New Roman"/>
              </w:rPr>
            </w:pPr>
            <w:r>
              <w:rPr>
                <w:rFonts w:ascii="Times New Roman" w:hAnsi="Times New Roman" w:eastAsia="PMingLiU" w:cs="Times New Roman"/>
                <w:lang w:eastAsia="zh-CN"/>
              </w:rPr>
              <w:t>Std. error</w:t>
            </w:r>
          </w:p>
        </w:tc>
        <w:tc>
          <w:tcPr>
            <w:tcW w:w="1293" w:type="dxa"/>
            <w:tcBorders>
              <w:top w:val="single" w:color="auto" w:sz="12" w:space="0"/>
              <w:left w:val="nil"/>
              <w:bottom w:val="single" w:color="auto" w:sz="4" w:space="0"/>
              <w:right w:val="nil"/>
            </w:tcBorders>
          </w:tcPr>
          <w:p w14:paraId="48BFCE09">
            <w:pPr>
              <w:jc w:val="center"/>
              <w:rPr>
                <w:rFonts w:ascii="Times New Roman Italic" w:hAnsi="Times New Roman Italic" w:eastAsia="PMingLiU" w:cs="Times New Roman Italic"/>
                <w:i/>
                <w:iCs/>
              </w:rPr>
            </w:pPr>
            <w:r>
              <w:rPr>
                <w:rFonts w:ascii="Times New Roman Italic" w:hAnsi="Times New Roman Italic" w:eastAsia="PMingLiU" w:cs="Times New Roman Italic"/>
                <w:i/>
                <w:iCs/>
              </w:rPr>
              <w:t>F</w:t>
            </w:r>
          </w:p>
        </w:tc>
        <w:tc>
          <w:tcPr>
            <w:tcW w:w="757" w:type="dxa"/>
            <w:tcBorders>
              <w:top w:val="single" w:color="auto" w:sz="12" w:space="0"/>
              <w:left w:val="nil"/>
              <w:bottom w:val="single" w:color="auto" w:sz="4" w:space="0"/>
              <w:right w:val="nil"/>
            </w:tcBorders>
          </w:tcPr>
          <w:p w14:paraId="35AEB6A0">
            <w:pPr>
              <w:jc w:val="center"/>
              <w:rPr>
                <w:rFonts w:ascii="Times New Roman Italic" w:hAnsi="Times New Roman Italic" w:eastAsia="PMingLiU" w:cs="Times New Roman Italic"/>
                <w:i/>
                <w:iCs/>
              </w:rPr>
            </w:pPr>
            <w:r>
              <w:rPr>
                <w:rFonts w:ascii="Times New Roman Regular" w:hAnsi="Times New Roman Regular" w:eastAsia="楷体" w:cs="Times New Roman Regular"/>
                <w:i/>
                <w:iCs/>
                <w:lang w:eastAsia="zh-Hans"/>
              </w:rPr>
              <w:t>η</w:t>
            </w:r>
            <w:r>
              <w:rPr>
                <w:rFonts w:ascii="Times New Roman Regular" w:hAnsi="Times New Roman Regular" w:eastAsia="楷体" w:cs="Times New Roman Regular"/>
                <w:i/>
                <w:iCs/>
                <w:vertAlign w:val="superscript"/>
                <w:lang w:eastAsia="zh-Hans"/>
              </w:rPr>
              <w:t>2</w:t>
            </w:r>
          </w:p>
        </w:tc>
      </w:tr>
      <w:tr w14:paraId="3374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85" w:type="dxa"/>
            <w:vMerge w:val="restart"/>
            <w:tcBorders>
              <w:top w:val="single" w:color="auto" w:sz="4" w:space="0"/>
              <w:left w:val="nil"/>
              <w:right w:val="nil"/>
            </w:tcBorders>
          </w:tcPr>
          <w:p w14:paraId="6CE53299">
            <w:pPr>
              <w:rPr>
                <w:rFonts w:ascii="Times New Roman" w:hAnsi="Times New Roman" w:eastAsia="PMingLiU" w:cs="Times New Roman"/>
                <w:lang w:eastAsia="zh-CN"/>
              </w:rPr>
            </w:pPr>
            <w:r>
              <w:rPr>
                <w:rFonts w:hint="eastAsia" w:ascii="Times New Roman" w:hAnsi="Times New Roman" w:eastAsia="PMingLiU" w:cs="Times New Roman"/>
                <w:lang w:eastAsia="zh-CN"/>
              </w:rPr>
              <w:t xml:space="preserve">Overall </w:t>
            </w:r>
          </w:p>
        </w:tc>
        <w:tc>
          <w:tcPr>
            <w:tcW w:w="1526" w:type="dxa"/>
            <w:tcBorders>
              <w:top w:val="single" w:color="auto" w:sz="4" w:space="0"/>
              <w:left w:val="nil"/>
              <w:bottom w:val="nil"/>
              <w:right w:val="nil"/>
            </w:tcBorders>
          </w:tcPr>
          <w:p w14:paraId="11056ACB">
            <w:pPr>
              <w:rPr>
                <w:rFonts w:ascii="Times New Roman" w:hAnsi="Times New Roman" w:eastAsia="PMingLiU" w:cs="Times New Roman"/>
              </w:rPr>
            </w:pPr>
            <w:r>
              <w:rPr>
                <w:rFonts w:ascii="Times New Roman" w:hAnsi="Times New Roman" w:eastAsia="PMingLiU" w:cs="Times New Roman"/>
              </w:rPr>
              <w:t>Experimental</w:t>
            </w:r>
          </w:p>
        </w:tc>
        <w:tc>
          <w:tcPr>
            <w:tcW w:w="647" w:type="dxa"/>
            <w:tcBorders>
              <w:top w:val="single" w:color="auto" w:sz="4" w:space="0"/>
              <w:left w:val="nil"/>
              <w:bottom w:val="nil"/>
              <w:right w:val="nil"/>
            </w:tcBorders>
          </w:tcPr>
          <w:p w14:paraId="74E1BA74">
            <w:pPr>
              <w:jc w:val="center"/>
              <w:rPr>
                <w:rFonts w:ascii="Times New Roman" w:hAnsi="Times New Roman" w:eastAsia="PMingLiU" w:cs="Times New Roman"/>
              </w:rPr>
            </w:pPr>
            <w:r>
              <w:rPr>
                <w:rFonts w:ascii="Times New Roman" w:hAnsi="Times New Roman" w:eastAsia="PMingLiU" w:cs="Times New Roman"/>
              </w:rPr>
              <w:t>60</w:t>
            </w:r>
          </w:p>
        </w:tc>
        <w:tc>
          <w:tcPr>
            <w:tcW w:w="890" w:type="dxa"/>
            <w:tcBorders>
              <w:top w:val="single" w:color="auto" w:sz="4" w:space="0"/>
              <w:left w:val="nil"/>
              <w:bottom w:val="nil"/>
              <w:right w:val="nil"/>
            </w:tcBorders>
          </w:tcPr>
          <w:p w14:paraId="20626492">
            <w:pPr>
              <w:jc w:val="center"/>
              <w:rPr>
                <w:rFonts w:ascii="Times New Roman" w:hAnsi="Times New Roman" w:eastAsia="PMingLiU" w:cs="Times New Roman"/>
              </w:rPr>
            </w:pPr>
            <w:r>
              <w:rPr>
                <w:rFonts w:ascii="Times New Roman" w:hAnsi="Times New Roman" w:eastAsia="PMingLiU" w:cs="Times New Roman"/>
              </w:rPr>
              <w:t>11.95</w:t>
            </w:r>
          </w:p>
        </w:tc>
        <w:tc>
          <w:tcPr>
            <w:tcW w:w="842" w:type="dxa"/>
            <w:tcBorders>
              <w:top w:val="single" w:color="auto" w:sz="4" w:space="0"/>
              <w:left w:val="nil"/>
              <w:bottom w:val="nil"/>
              <w:right w:val="nil"/>
            </w:tcBorders>
            <w:vAlign w:val="center"/>
          </w:tcPr>
          <w:p w14:paraId="0A00D91B">
            <w:pPr>
              <w:jc w:val="center"/>
              <w:rPr>
                <w:rFonts w:ascii="Times New Roman" w:hAnsi="Times New Roman" w:eastAsia="PMingLiU" w:cs="Times New Roman"/>
              </w:rPr>
            </w:pPr>
            <w:r>
              <w:rPr>
                <w:rFonts w:ascii="Times New Roman" w:hAnsi="Times New Roman" w:eastAsia="PMingLiU" w:cs="Times New Roman"/>
              </w:rPr>
              <w:t>1.48</w:t>
            </w:r>
          </w:p>
        </w:tc>
        <w:tc>
          <w:tcPr>
            <w:tcW w:w="1698" w:type="dxa"/>
            <w:tcBorders>
              <w:top w:val="single" w:color="auto" w:sz="4" w:space="0"/>
              <w:left w:val="nil"/>
              <w:bottom w:val="nil"/>
              <w:right w:val="nil"/>
            </w:tcBorders>
            <w:vAlign w:val="center"/>
          </w:tcPr>
          <w:p w14:paraId="3F49173A">
            <w:pPr>
              <w:jc w:val="center"/>
              <w:rPr>
                <w:rFonts w:ascii="Times New Roman" w:hAnsi="Times New Roman" w:eastAsia="PMingLiU" w:cs="Times New Roman"/>
              </w:rPr>
            </w:pPr>
            <w:r>
              <w:rPr>
                <w:rFonts w:ascii="Times New Roman" w:hAnsi="Times New Roman" w:eastAsia="PMingLiU" w:cs="Times New Roman"/>
              </w:rPr>
              <w:t>11.98</w:t>
            </w:r>
          </w:p>
        </w:tc>
        <w:tc>
          <w:tcPr>
            <w:tcW w:w="1193" w:type="dxa"/>
            <w:tcBorders>
              <w:top w:val="single" w:color="auto" w:sz="4" w:space="0"/>
              <w:left w:val="nil"/>
              <w:bottom w:val="nil"/>
              <w:right w:val="nil"/>
            </w:tcBorders>
            <w:vAlign w:val="center"/>
          </w:tcPr>
          <w:p w14:paraId="5E07AE56">
            <w:pPr>
              <w:jc w:val="center"/>
              <w:rPr>
                <w:rFonts w:ascii="Times New Roman" w:hAnsi="Times New Roman" w:eastAsia="PMingLiU" w:cs="Times New Roman"/>
              </w:rPr>
            </w:pPr>
            <w:r>
              <w:rPr>
                <w:rFonts w:ascii="Times New Roman" w:hAnsi="Times New Roman" w:eastAsia="PMingLiU" w:cs="Times New Roman"/>
              </w:rPr>
              <w:t>0.19</w:t>
            </w:r>
          </w:p>
        </w:tc>
        <w:tc>
          <w:tcPr>
            <w:tcW w:w="1293" w:type="dxa"/>
            <w:vMerge w:val="restart"/>
            <w:tcBorders>
              <w:top w:val="single" w:color="auto" w:sz="4" w:space="0"/>
              <w:left w:val="nil"/>
              <w:right w:val="nil"/>
            </w:tcBorders>
          </w:tcPr>
          <w:p w14:paraId="54CC7276">
            <w:pPr>
              <w:jc w:val="center"/>
              <w:rPr>
                <w:rFonts w:ascii="Times New Roman" w:hAnsi="Times New Roman" w:eastAsia="PMingLiU" w:cs="Times New Roman"/>
              </w:rPr>
            </w:pPr>
            <w:r>
              <w:rPr>
                <w:rFonts w:ascii="Times New Roman" w:hAnsi="Times New Roman" w:eastAsia="PMingLiU" w:cs="Times New Roman"/>
              </w:rPr>
              <w:t>40.29</w:t>
            </w:r>
            <w:r>
              <w:rPr>
                <w:rFonts w:ascii="Times New Roman" w:hAnsi="Times New Roman" w:eastAsia="PMingLiU" w:cs="Times New Roman"/>
                <w:vertAlign w:val="superscript"/>
              </w:rPr>
              <w:t>***</w:t>
            </w:r>
          </w:p>
        </w:tc>
        <w:tc>
          <w:tcPr>
            <w:tcW w:w="757" w:type="dxa"/>
            <w:vMerge w:val="restart"/>
            <w:tcBorders>
              <w:top w:val="single" w:color="auto" w:sz="4" w:space="0"/>
              <w:left w:val="nil"/>
              <w:right w:val="nil"/>
            </w:tcBorders>
          </w:tcPr>
          <w:p w14:paraId="0C1A6F7B">
            <w:pPr>
              <w:jc w:val="center"/>
              <w:rPr>
                <w:rFonts w:ascii="Times New Roman" w:hAnsi="Times New Roman" w:eastAsia="PMingLiU" w:cs="Times New Roman"/>
                <w:lang w:eastAsia="zh-Hans"/>
              </w:rPr>
            </w:pPr>
            <w:r>
              <w:rPr>
                <w:rFonts w:ascii="Times New Roman" w:hAnsi="Times New Roman" w:eastAsia="PMingLiU" w:cs="Times New Roman"/>
              </w:rPr>
              <w:t>0</w:t>
            </w:r>
            <w:r>
              <w:rPr>
                <w:rFonts w:hint="eastAsia" w:ascii="Times New Roman" w:hAnsi="Times New Roman" w:eastAsia="PMingLiU" w:cs="Times New Roman"/>
                <w:lang w:eastAsia="zh-Hans"/>
              </w:rPr>
              <w:t>.</w:t>
            </w:r>
            <w:r>
              <w:rPr>
                <w:rFonts w:ascii="Times New Roman" w:hAnsi="Times New Roman" w:eastAsia="PMingLiU" w:cs="Times New Roman"/>
                <w:lang w:eastAsia="zh-Hans"/>
              </w:rPr>
              <w:t>26</w:t>
            </w:r>
          </w:p>
        </w:tc>
      </w:tr>
      <w:tr w14:paraId="67C6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285" w:type="dxa"/>
            <w:vMerge w:val="continue"/>
            <w:tcBorders>
              <w:left w:val="nil"/>
              <w:bottom w:val="nil"/>
              <w:right w:val="nil"/>
            </w:tcBorders>
          </w:tcPr>
          <w:p w14:paraId="42DC088F">
            <w:pPr>
              <w:rPr>
                <w:rFonts w:ascii="Times New Roman" w:hAnsi="Times New Roman" w:eastAsia="PMingLiU" w:cs="Times New Roman"/>
              </w:rPr>
            </w:pPr>
          </w:p>
        </w:tc>
        <w:tc>
          <w:tcPr>
            <w:tcW w:w="1526" w:type="dxa"/>
            <w:tcBorders>
              <w:top w:val="nil"/>
              <w:left w:val="nil"/>
              <w:bottom w:val="nil"/>
              <w:right w:val="nil"/>
            </w:tcBorders>
          </w:tcPr>
          <w:p w14:paraId="0EBCD686">
            <w:pPr>
              <w:rPr>
                <w:rFonts w:ascii="Times New Roman" w:hAnsi="Times New Roman" w:eastAsia="PMingLiU" w:cs="Times New Roman"/>
              </w:rPr>
            </w:pPr>
            <w:r>
              <w:rPr>
                <w:rFonts w:ascii="Times New Roman" w:hAnsi="Times New Roman" w:eastAsia="PMingLiU" w:cs="Times New Roman"/>
              </w:rPr>
              <w:t>Control</w:t>
            </w:r>
          </w:p>
        </w:tc>
        <w:tc>
          <w:tcPr>
            <w:tcW w:w="647" w:type="dxa"/>
            <w:tcBorders>
              <w:top w:val="nil"/>
              <w:left w:val="nil"/>
              <w:bottom w:val="nil"/>
              <w:right w:val="nil"/>
            </w:tcBorders>
          </w:tcPr>
          <w:p w14:paraId="7FC56DB0">
            <w:pPr>
              <w:jc w:val="center"/>
              <w:rPr>
                <w:rFonts w:ascii="Times New Roman" w:hAnsi="Times New Roman" w:eastAsia="PMingLiU" w:cs="Times New Roman"/>
              </w:rPr>
            </w:pPr>
            <w:r>
              <w:rPr>
                <w:rFonts w:ascii="Times New Roman" w:hAnsi="Times New Roman" w:eastAsia="PMingLiU" w:cs="Times New Roman"/>
              </w:rPr>
              <w:t>58</w:t>
            </w:r>
          </w:p>
        </w:tc>
        <w:tc>
          <w:tcPr>
            <w:tcW w:w="890" w:type="dxa"/>
            <w:tcBorders>
              <w:top w:val="nil"/>
              <w:left w:val="nil"/>
              <w:bottom w:val="nil"/>
              <w:right w:val="nil"/>
            </w:tcBorders>
          </w:tcPr>
          <w:p w14:paraId="4798735E">
            <w:pPr>
              <w:jc w:val="center"/>
              <w:rPr>
                <w:rFonts w:ascii="Times New Roman" w:hAnsi="Times New Roman" w:eastAsia="PMingLiU" w:cs="Times New Roman"/>
              </w:rPr>
            </w:pPr>
            <w:r>
              <w:rPr>
                <w:rFonts w:ascii="Times New Roman" w:hAnsi="Times New Roman" w:eastAsia="PMingLiU" w:cs="Times New Roman"/>
              </w:rPr>
              <w:t>10.36</w:t>
            </w:r>
          </w:p>
        </w:tc>
        <w:tc>
          <w:tcPr>
            <w:tcW w:w="842" w:type="dxa"/>
            <w:tcBorders>
              <w:top w:val="nil"/>
              <w:left w:val="nil"/>
              <w:bottom w:val="nil"/>
              <w:right w:val="nil"/>
            </w:tcBorders>
          </w:tcPr>
          <w:p w14:paraId="7EF96AC3">
            <w:pPr>
              <w:jc w:val="center"/>
              <w:rPr>
                <w:rFonts w:ascii="Times New Roman" w:hAnsi="Times New Roman" w:eastAsia="PMingLiU" w:cs="Times New Roman"/>
              </w:rPr>
            </w:pPr>
            <w:r>
              <w:rPr>
                <w:rFonts w:ascii="Times New Roman" w:hAnsi="Times New Roman" w:eastAsia="PMingLiU" w:cs="Times New Roman"/>
              </w:rPr>
              <w:t>1.77</w:t>
            </w:r>
          </w:p>
        </w:tc>
        <w:tc>
          <w:tcPr>
            <w:tcW w:w="1698" w:type="dxa"/>
            <w:tcBorders>
              <w:top w:val="nil"/>
              <w:left w:val="nil"/>
              <w:bottom w:val="nil"/>
              <w:right w:val="nil"/>
            </w:tcBorders>
          </w:tcPr>
          <w:p w14:paraId="7DBBE2B8">
            <w:pPr>
              <w:jc w:val="center"/>
              <w:rPr>
                <w:rFonts w:ascii="Times New Roman" w:hAnsi="Times New Roman" w:eastAsia="PMingLiU" w:cs="Times New Roman"/>
              </w:rPr>
            </w:pPr>
            <w:r>
              <w:rPr>
                <w:rFonts w:ascii="Times New Roman" w:hAnsi="Times New Roman" w:eastAsia="PMingLiU" w:cs="Times New Roman"/>
              </w:rPr>
              <w:t>10.33</w:t>
            </w:r>
          </w:p>
        </w:tc>
        <w:tc>
          <w:tcPr>
            <w:tcW w:w="1193" w:type="dxa"/>
            <w:tcBorders>
              <w:top w:val="nil"/>
              <w:left w:val="nil"/>
              <w:bottom w:val="nil"/>
              <w:right w:val="nil"/>
            </w:tcBorders>
          </w:tcPr>
          <w:p w14:paraId="57F62C58">
            <w:pPr>
              <w:jc w:val="center"/>
              <w:rPr>
                <w:rFonts w:ascii="Times New Roman" w:hAnsi="Times New Roman" w:eastAsia="PMingLiU" w:cs="Times New Roman"/>
              </w:rPr>
            </w:pPr>
            <w:r>
              <w:rPr>
                <w:rFonts w:ascii="Times New Roman" w:hAnsi="Times New Roman" w:eastAsia="PMingLiU" w:cs="Times New Roman"/>
              </w:rPr>
              <w:t>0.18</w:t>
            </w:r>
          </w:p>
        </w:tc>
        <w:tc>
          <w:tcPr>
            <w:tcW w:w="1293" w:type="dxa"/>
            <w:vMerge w:val="continue"/>
            <w:tcBorders>
              <w:left w:val="nil"/>
              <w:bottom w:val="nil"/>
              <w:right w:val="nil"/>
            </w:tcBorders>
          </w:tcPr>
          <w:p w14:paraId="1EE9DAB4">
            <w:pPr>
              <w:spacing w:line="360" w:lineRule="auto"/>
              <w:rPr>
                <w:rFonts w:ascii="Times New Roman" w:hAnsi="Times New Roman" w:eastAsia="PMingLiU" w:cs="Times New Roman"/>
              </w:rPr>
            </w:pPr>
          </w:p>
        </w:tc>
        <w:tc>
          <w:tcPr>
            <w:tcW w:w="757" w:type="dxa"/>
            <w:vMerge w:val="continue"/>
            <w:tcBorders>
              <w:left w:val="nil"/>
              <w:bottom w:val="nil"/>
              <w:right w:val="nil"/>
            </w:tcBorders>
          </w:tcPr>
          <w:p w14:paraId="15A3C7FA">
            <w:pPr>
              <w:spacing w:line="360" w:lineRule="auto"/>
              <w:rPr>
                <w:rFonts w:ascii="Times New Roman" w:hAnsi="Times New Roman" w:eastAsia="PMingLiU" w:cs="Times New Roman"/>
              </w:rPr>
            </w:pPr>
          </w:p>
        </w:tc>
      </w:tr>
      <w:tr w14:paraId="3917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restart"/>
            <w:tcBorders>
              <w:top w:val="nil"/>
              <w:left w:val="nil"/>
              <w:right w:val="nil"/>
            </w:tcBorders>
          </w:tcPr>
          <w:p w14:paraId="5AC22731">
            <w:pPr>
              <w:rPr>
                <w:rFonts w:ascii="Times New Roman" w:hAnsi="Times New Roman" w:eastAsia="PMingLiU" w:cs="Times New Roman"/>
                <w:color w:val="C00000"/>
              </w:rPr>
            </w:pPr>
            <w:r>
              <w:rPr>
                <w:rFonts w:hint="eastAsia" w:ascii="Times New Roman" w:hAnsi="Times New Roman" w:cs="Times New Roman"/>
                <w:color w:val="C00000"/>
                <w:lang w:eastAsia="zh-CN"/>
              </w:rPr>
              <w:t>H</w:t>
            </w:r>
            <w:r>
              <w:rPr>
                <w:rFonts w:hint="eastAsia" w:ascii="Times New Roman" w:hAnsi="Times New Roman" w:cs="Times New Roman"/>
                <w:color w:val="C00000"/>
              </w:rPr>
              <w:t>ardware/software</w:t>
            </w:r>
          </w:p>
        </w:tc>
        <w:tc>
          <w:tcPr>
            <w:tcW w:w="1526" w:type="dxa"/>
            <w:tcBorders>
              <w:top w:val="nil"/>
              <w:left w:val="nil"/>
              <w:bottom w:val="nil"/>
              <w:right w:val="nil"/>
            </w:tcBorders>
          </w:tcPr>
          <w:p w14:paraId="03C1B41E">
            <w:pPr>
              <w:rPr>
                <w:rFonts w:ascii="Times New Roman" w:hAnsi="Times New Roman" w:eastAsia="PMingLiU" w:cs="Times New Roman"/>
                <w:color w:val="C00000"/>
              </w:rPr>
            </w:pPr>
            <w:r>
              <w:rPr>
                <w:rFonts w:ascii="Times New Roman" w:hAnsi="Times New Roman" w:eastAsia="PMingLiU" w:cs="Times New Roman"/>
                <w:color w:val="C00000"/>
              </w:rPr>
              <w:t>Experimental</w:t>
            </w:r>
          </w:p>
        </w:tc>
        <w:tc>
          <w:tcPr>
            <w:tcW w:w="647" w:type="dxa"/>
            <w:tcBorders>
              <w:top w:val="nil"/>
              <w:left w:val="nil"/>
              <w:bottom w:val="nil"/>
              <w:right w:val="nil"/>
            </w:tcBorders>
          </w:tcPr>
          <w:p w14:paraId="30830A8A">
            <w:pPr>
              <w:jc w:val="center"/>
              <w:rPr>
                <w:rFonts w:ascii="Times New Roman" w:hAnsi="Times New Roman" w:eastAsia="PMingLiU" w:cs="Times New Roman"/>
                <w:color w:val="C00000"/>
              </w:rPr>
            </w:pPr>
            <w:r>
              <w:rPr>
                <w:rFonts w:ascii="Times New Roman" w:hAnsi="Times New Roman" w:eastAsia="PMingLiU" w:cs="Times New Roman"/>
                <w:color w:val="C00000"/>
              </w:rPr>
              <w:t>60</w:t>
            </w:r>
          </w:p>
        </w:tc>
        <w:tc>
          <w:tcPr>
            <w:tcW w:w="890" w:type="dxa"/>
            <w:tcBorders>
              <w:top w:val="nil"/>
              <w:left w:val="nil"/>
              <w:bottom w:val="nil"/>
              <w:right w:val="nil"/>
            </w:tcBorders>
          </w:tcPr>
          <w:p w14:paraId="2AA8EBE9">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1.67</w:t>
            </w:r>
          </w:p>
        </w:tc>
        <w:tc>
          <w:tcPr>
            <w:tcW w:w="842" w:type="dxa"/>
            <w:tcBorders>
              <w:top w:val="nil"/>
              <w:left w:val="nil"/>
              <w:bottom w:val="nil"/>
              <w:right w:val="nil"/>
            </w:tcBorders>
          </w:tcPr>
          <w:p w14:paraId="5F40967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0.48</w:t>
            </w:r>
          </w:p>
        </w:tc>
        <w:tc>
          <w:tcPr>
            <w:tcW w:w="1698" w:type="dxa"/>
            <w:tcBorders>
              <w:top w:val="nil"/>
              <w:left w:val="nil"/>
              <w:bottom w:val="nil"/>
              <w:right w:val="nil"/>
            </w:tcBorders>
          </w:tcPr>
          <w:p w14:paraId="0FF63230">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1.66</w:t>
            </w:r>
          </w:p>
        </w:tc>
        <w:tc>
          <w:tcPr>
            <w:tcW w:w="1193" w:type="dxa"/>
            <w:tcBorders>
              <w:top w:val="nil"/>
              <w:left w:val="nil"/>
              <w:bottom w:val="nil"/>
              <w:right w:val="nil"/>
            </w:tcBorders>
          </w:tcPr>
          <w:p w14:paraId="45750BFC">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0.06</w:t>
            </w:r>
          </w:p>
        </w:tc>
        <w:tc>
          <w:tcPr>
            <w:tcW w:w="1293" w:type="dxa"/>
            <w:vMerge w:val="restart"/>
            <w:tcBorders>
              <w:top w:val="nil"/>
              <w:left w:val="nil"/>
              <w:right w:val="nil"/>
            </w:tcBorders>
          </w:tcPr>
          <w:p w14:paraId="77E554BE">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0.07</w:t>
            </w:r>
          </w:p>
        </w:tc>
        <w:tc>
          <w:tcPr>
            <w:tcW w:w="757" w:type="dxa"/>
            <w:vMerge w:val="restart"/>
            <w:tcBorders>
              <w:top w:val="nil"/>
              <w:left w:val="nil"/>
              <w:right w:val="nil"/>
            </w:tcBorders>
          </w:tcPr>
          <w:p w14:paraId="7457E18D">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0.00</w:t>
            </w:r>
          </w:p>
        </w:tc>
      </w:tr>
      <w:tr w14:paraId="53417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continue"/>
            <w:tcBorders>
              <w:left w:val="nil"/>
              <w:bottom w:val="nil"/>
              <w:right w:val="nil"/>
            </w:tcBorders>
          </w:tcPr>
          <w:p w14:paraId="5B2BCF37">
            <w:pPr>
              <w:rPr>
                <w:rFonts w:ascii="Times New Roman" w:hAnsi="Times New Roman" w:eastAsia="PMingLiU" w:cs="Times New Roman"/>
                <w:color w:val="C00000"/>
              </w:rPr>
            </w:pPr>
          </w:p>
        </w:tc>
        <w:tc>
          <w:tcPr>
            <w:tcW w:w="1526" w:type="dxa"/>
            <w:tcBorders>
              <w:top w:val="nil"/>
              <w:left w:val="nil"/>
              <w:bottom w:val="nil"/>
              <w:right w:val="nil"/>
            </w:tcBorders>
          </w:tcPr>
          <w:p w14:paraId="4ACDE2E8">
            <w:pPr>
              <w:rPr>
                <w:rFonts w:ascii="Times New Roman" w:hAnsi="Times New Roman" w:eastAsia="PMingLiU" w:cs="Times New Roman"/>
                <w:color w:val="C00000"/>
              </w:rPr>
            </w:pPr>
            <w:r>
              <w:rPr>
                <w:rFonts w:ascii="Times New Roman" w:hAnsi="Times New Roman" w:eastAsia="PMingLiU" w:cs="Times New Roman"/>
                <w:color w:val="C00000"/>
              </w:rPr>
              <w:t>Control</w:t>
            </w:r>
          </w:p>
        </w:tc>
        <w:tc>
          <w:tcPr>
            <w:tcW w:w="647" w:type="dxa"/>
            <w:tcBorders>
              <w:top w:val="nil"/>
              <w:left w:val="nil"/>
              <w:bottom w:val="nil"/>
              <w:right w:val="nil"/>
            </w:tcBorders>
          </w:tcPr>
          <w:p w14:paraId="5FBAA4DC">
            <w:pPr>
              <w:jc w:val="center"/>
              <w:rPr>
                <w:rFonts w:ascii="Times New Roman" w:hAnsi="Times New Roman" w:eastAsia="PMingLiU" w:cs="Times New Roman"/>
                <w:color w:val="C00000"/>
              </w:rPr>
            </w:pPr>
            <w:r>
              <w:rPr>
                <w:rFonts w:ascii="Times New Roman" w:hAnsi="Times New Roman" w:eastAsia="PMingLiU" w:cs="Times New Roman"/>
                <w:color w:val="C00000"/>
              </w:rPr>
              <w:t>58</w:t>
            </w:r>
          </w:p>
        </w:tc>
        <w:tc>
          <w:tcPr>
            <w:tcW w:w="890" w:type="dxa"/>
            <w:tcBorders>
              <w:top w:val="nil"/>
              <w:left w:val="nil"/>
              <w:bottom w:val="nil"/>
              <w:right w:val="nil"/>
            </w:tcBorders>
          </w:tcPr>
          <w:p w14:paraId="7A2E71E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1.64</w:t>
            </w:r>
          </w:p>
        </w:tc>
        <w:tc>
          <w:tcPr>
            <w:tcW w:w="842" w:type="dxa"/>
            <w:tcBorders>
              <w:top w:val="nil"/>
              <w:left w:val="nil"/>
              <w:bottom w:val="nil"/>
              <w:right w:val="nil"/>
            </w:tcBorders>
          </w:tcPr>
          <w:p w14:paraId="6F1F9505">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0.48</w:t>
            </w:r>
          </w:p>
        </w:tc>
        <w:tc>
          <w:tcPr>
            <w:tcW w:w="1698" w:type="dxa"/>
            <w:tcBorders>
              <w:top w:val="nil"/>
              <w:left w:val="nil"/>
              <w:bottom w:val="nil"/>
              <w:right w:val="nil"/>
            </w:tcBorders>
          </w:tcPr>
          <w:p w14:paraId="2D2F8244">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1.64</w:t>
            </w:r>
          </w:p>
        </w:tc>
        <w:tc>
          <w:tcPr>
            <w:tcW w:w="1193" w:type="dxa"/>
            <w:tcBorders>
              <w:top w:val="nil"/>
              <w:left w:val="nil"/>
              <w:bottom w:val="nil"/>
              <w:right w:val="nil"/>
            </w:tcBorders>
          </w:tcPr>
          <w:p w14:paraId="4822504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0.06</w:t>
            </w:r>
          </w:p>
        </w:tc>
        <w:tc>
          <w:tcPr>
            <w:tcW w:w="1293" w:type="dxa"/>
            <w:vMerge w:val="continue"/>
            <w:tcBorders>
              <w:left w:val="nil"/>
              <w:bottom w:val="nil"/>
              <w:right w:val="nil"/>
            </w:tcBorders>
          </w:tcPr>
          <w:p w14:paraId="7884FD51">
            <w:pPr>
              <w:jc w:val="center"/>
              <w:rPr>
                <w:rFonts w:ascii="Times New Roman" w:hAnsi="Times New Roman" w:eastAsia="PMingLiU" w:cs="Times New Roman"/>
                <w:color w:val="C00000"/>
              </w:rPr>
            </w:pPr>
          </w:p>
        </w:tc>
        <w:tc>
          <w:tcPr>
            <w:tcW w:w="757" w:type="dxa"/>
            <w:vMerge w:val="continue"/>
            <w:tcBorders>
              <w:left w:val="nil"/>
              <w:bottom w:val="nil"/>
              <w:right w:val="nil"/>
            </w:tcBorders>
          </w:tcPr>
          <w:p w14:paraId="7C462EA9">
            <w:pPr>
              <w:jc w:val="center"/>
              <w:rPr>
                <w:rFonts w:ascii="Times New Roman" w:hAnsi="Times New Roman" w:eastAsia="PMingLiU" w:cs="Times New Roman"/>
                <w:color w:val="C00000"/>
              </w:rPr>
            </w:pPr>
          </w:p>
        </w:tc>
      </w:tr>
      <w:tr w14:paraId="39E9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restart"/>
            <w:tcBorders>
              <w:top w:val="nil"/>
              <w:left w:val="nil"/>
              <w:right w:val="nil"/>
            </w:tcBorders>
          </w:tcPr>
          <w:p w14:paraId="77C8B56B">
            <w:pPr>
              <w:rPr>
                <w:rFonts w:ascii="Times New Roman" w:hAnsi="Times New Roman" w:cs="Times New Roman"/>
                <w:color w:val="C00000"/>
                <w:lang w:eastAsia="zh-CN"/>
              </w:rPr>
            </w:pPr>
            <w:r>
              <w:rPr>
                <w:rFonts w:hint="eastAsia" w:ascii="Times New Roman" w:hAnsi="Times New Roman" w:cs="Times New Roman"/>
                <w:color w:val="C00000"/>
                <w:lang w:eastAsia="zh-CN"/>
              </w:rPr>
              <w:t>A</w:t>
            </w:r>
            <w:r>
              <w:rPr>
                <w:rFonts w:hint="eastAsia" w:ascii="Times New Roman" w:hAnsi="Times New Roman" w:cs="Times New Roman"/>
                <w:color w:val="C00000"/>
              </w:rPr>
              <w:t>lgorithm</w:t>
            </w:r>
            <w:r>
              <w:rPr>
                <w:rFonts w:hint="eastAsia" w:ascii="Times New Roman" w:hAnsi="Times New Roman" w:cs="Times New Roman"/>
                <w:color w:val="C00000"/>
                <w:lang w:eastAsia="zh-CN"/>
              </w:rPr>
              <w:t>/sequence</w:t>
            </w:r>
          </w:p>
        </w:tc>
        <w:tc>
          <w:tcPr>
            <w:tcW w:w="1526" w:type="dxa"/>
            <w:tcBorders>
              <w:top w:val="nil"/>
              <w:left w:val="nil"/>
              <w:bottom w:val="nil"/>
              <w:right w:val="nil"/>
            </w:tcBorders>
          </w:tcPr>
          <w:p w14:paraId="61D8495C">
            <w:pPr>
              <w:rPr>
                <w:rFonts w:ascii="Times New Roman" w:hAnsi="Times New Roman" w:eastAsia="PMingLiU" w:cs="Times New Roman"/>
                <w:color w:val="C00000"/>
              </w:rPr>
            </w:pPr>
            <w:r>
              <w:rPr>
                <w:rFonts w:ascii="Times New Roman" w:hAnsi="Times New Roman" w:eastAsia="PMingLiU" w:cs="Times New Roman"/>
                <w:color w:val="C00000"/>
              </w:rPr>
              <w:t>Experimental</w:t>
            </w:r>
          </w:p>
        </w:tc>
        <w:tc>
          <w:tcPr>
            <w:tcW w:w="647" w:type="dxa"/>
            <w:tcBorders>
              <w:top w:val="nil"/>
              <w:left w:val="nil"/>
              <w:bottom w:val="nil"/>
              <w:right w:val="nil"/>
            </w:tcBorders>
          </w:tcPr>
          <w:p w14:paraId="777F1AE0">
            <w:pPr>
              <w:jc w:val="center"/>
              <w:rPr>
                <w:rFonts w:ascii="Times New Roman" w:hAnsi="Times New Roman" w:eastAsia="PMingLiU" w:cs="Times New Roman"/>
                <w:color w:val="C00000"/>
              </w:rPr>
            </w:pPr>
            <w:r>
              <w:rPr>
                <w:rFonts w:ascii="Times New Roman" w:hAnsi="Times New Roman" w:eastAsia="PMingLiU" w:cs="Times New Roman"/>
                <w:color w:val="C00000"/>
              </w:rPr>
              <w:t>60</w:t>
            </w:r>
          </w:p>
        </w:tc>
        <w:tc>
          <w:tcPr>
            <w:tcW w:w="890" w:type="dxa"/>
            <w:tcBorders>
              <w:top w:val="nil"/>
              <w:left w:val="nil"/>
              <w:bottom w:val="nil"/>
              <w:right w:val="nil"/>
            </w:tcBorders>
          </w:tcPr>
          <w:p w14:paraId="11F3CBDF">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3.77</w:t>
            </w:r>
          </w:p>
        </w:tc>
        <w:tc>
          <w:tcPr>
            <w:tcW w:w="842" w:type="dxa"/>
            <w:tcBorders>
              <w:top w:val="nil"/>
              <w:left w:val="nil"/>
              <w:bottom w:val="nil"/>
              <w:right w:val="nil"/>
            </w:tcBorders>
          </w:tcPr>
          <w:p w14:paraId="53C8A63F">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0.87</w:t>
            </w:r>
          </w:p>
        </w:tc>
        <w:tc>
          <w:tcPr>
            <w:tcW w:w="1698" w:type="dxa"/>
            <w:tcBorders>
              <w:top w:val="nil"/>
              <w:left w:val="nil"/>
              <w:bottom w:val="nil"/>
              <w:right w:val="nil"/>
            </w:tcBorders>
          </w:tcPr>
          <w:p w14:paraId="37E65847">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3.73</w:t>
            </w:r>
          </w:p>
        </w:tc>
        <w:tc>
          <w:tcPr>
            <w:tcW w:w="1193" w:type="dxa"/>
            <w:tcBorders>
              <w:top w:val="nil"/>
              <w:left w:val="nil"/>
              <w:bottom w:val="nil"/>
              <w:right w:val="nil"/>
            </w:tcBorders>
          </w:tcPr>
          <w:p w14:paraId="7E4E634E">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0.12</w:t>
            </w:r>
          </w:p>
        </w:tc>
        <w:tc>
          <w:tcPr>
            <w:tcW w:w="1293" w:type="dxa"/>
            <w:vMerge w:val="restart"/>
            <w:tcBorders>
              <w:top w:val="nil"/>
              <w:left w:val="nil"/>
              <w:right w:val="nil"/>
            </w:tcBorders>
          </w:tcPr>
          <w:p w14:paraId="5C6B6DCA">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26.80</w:t>
            </w:r>
            <w:r>
              <w:rPr>
                <w:rFonts w:ascii="Times New Roman" w:hAnsi="Times New Roman" w:eastAsia="PMingLiU" w:cs="Times New Roman"/>
                <w:color w:val="C00000"/>
                <w:vertAlign w:val="superscript"/>
              </w:rPr>
              <w:t>***</w:t>
            </w:r>
          </w:p>
        </w:tc>
        <w:tc>
          <w:tcPr>
            <w:tcW w:w="757" w:type="dxa"/>
            <w:vMerge w:val="restart"/>
            <w:tcBorders>
              <w:top w:val="nil"/>
              <w:left w:val="nil"/>
              <w:right w:val="nil"/>
            </w:tcBorders>
          </w:tcPr>
          <w:p w14:paraId="3FCE4965">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0.17</w:t>
            </w:r>
          </w:p>
        </w:tc>
      </w:tr>
      <w:tr w14:paraId="20E6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continue"/>
            <w:tcBorders>
              <w:left w:val="nil"/>
              <w:bottom w:val="nil"/>
              <w:right w:val="nil"/>
            </w:tcBorders>
          </w:tcPr>
          <w:p w14:paraId="457263AF">
            <w:pPr>
              <w:rPr>
                <w:rFonts w:ascii="Times New Roman" w:hAnsi="Times New Roman" w:eastAsia="PMingLiU" w:cs="Times New Roman"/>
                <w:color w:val="C00000"/>
              </w:rPr>
            </w:pPr>
          </w:p>
        </w:tc>
        <w:tc>
          <w:tcPr>
            <w:tcW w:w="1526" w:type="dxa"/>
            <w:tcBorders>
              <w:top w:val="nil"/>
              <w:left w:val="nil"/>
              <w:bottom w:val="nil"/>
              <w:right w:val="nil"/>
            </w:tcBorders>
          </w:tcPr>
          <w:p w14:paraId="0A5C104A">
            <w:pPr>
              <w:rPr>
                <w:rFonts w:ascii="Times New Roman" w:hAnsi="Times New Roman" w:eastAsia="PMingLiU" w:cs="Times New Roman"/>
                <w:color w:val="C00000"/>
              </w:rPr>
            </w:pPr>
            <w:r>
              <w:rPr>
                <w:rFonts w:ascii="Times New Roman" w:hAnsi="Times New Roman" w:eastAsia="PMingLiU" w:cs="Times New Roman"/>
                <w:color w:val="C00000"/>
              </w:rPr>
              <w:t>Control</w:t>
            </w:r>
          </w:p>
        </w:tc>
        <w:tc>
          <w:tcPr>
            <w:tcW w:w="647" w:type="dxa"/>
            <w:tcBorders>
              <w:top w:val="nil"/>
              <w:left w:val="nil"/>
              <w:bottom w:val="nil"/>
              <w:right w:val="nil"/>
            </w:tcBorders>
          </w:tcPr>
          <w:p w14:paraId="711354BB">
            <w:pPr>
              <w:jc w:val="center"/>
              <w:rPr>
                <w:rFonts w:ascii="Times New Roman" w:hAnsi="Times New Roman" w:eastAsia="PMingLiU" w:cs="Times New Roman"/>
                <w:color w:val="C00000"/>
              </w:rPr>
            </w:pPr>
            <w:r>
              <w:rPr>
                <w:rFonts w:ascii="Times New Roman" w:hAnsi="Times New Roman" w:eastAsia="PMingLiU" w:cs="Times New Roman"/>
                <w:color w:val="C00000"/>
              </w:rPr>
              <w:t>58</w:t>
            </w:r>
          </w:p>
        </w:tc>
        <w:tc>
          <w:tcPr>
            <w:tcW w:w="890" w:type="dxa"/>
            <w:tcBorders>
              <w:top w:val="nil"/>
              <w:left w:val="nil"/>
              <w:bottom w:val="nil"/>
              <w:right w:val="nil"/>
            </w:tcBorders>
          </w:tcPr>
          <w:p w14:paraId="19E17CF8">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2.84</w:t>
            </w:r>
          </w:p>
        </w:tc>
        <w:tc>
          <w:tcPr>
            <w:tcW w:w="842" w:type="dxa"/>
            <w:tcBorders>
              <w:top w:val="nil"/>
              <w:left w:val="nil"/>
              <w:bottom w:val="nil"/>
              <w:right w:val="nil"/>
            </w:tcBorders>
          </w:tcPr>
          <w:p w14:paraId="4451F22F">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1.04</w:t>
            </w:r>
          </w:p>
        </w:tc>
        <w:tc>
          <w:tcPr>
            <w:tcW w:w="1698" w:type="dxa"/>
            <w:tcBorders>
              <w:top w:val="nil"/>
              <w:left w:val="nil"/>
              <w:bottom w:val="nil"/>
              <w:right w:val="nil"/>
            </w:tcBorders>
          </w:tcPr>
          <w:p w14:paraId="78134FF3">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2.88</w:t>
            </w:r>
          </w:p>
        </w:tc>
        <w:tc>
          <w:tcPr>
            <w:tcW w:w="1193" w:type="dxa"/>
            <w:tcBorders>
              <w:top w:val="nil"/>
              <w:left w:val="nil"/>
              <w:bottom w:val="nil"/>
              <w:right w:val="nil"/>
            </w:tcBorders>
          </w:tcPr>
          <w:p w14:paraId="38F22F8A">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0.12</w:t>
            </w:r>
          </w:p>
        </w:tc>
        <w:tc>
          <w:tcPr>
            <w:tcW w:w="1293" w:type="dxa"/>
            <w:vMerge w:val="continue"/>
            <w:tcBorders>
              <w:left w:val="nil"/>
              <w:bottom w:val="nil"/>
              <w:right w:val="nil"/>
            </w:tcBorders>
          </w:tcPr>
          <w:p w14:paraId="48204753">
            <w:pPr>
              <w:jc w:val="center"/>
              <w:rPr>
                <w:rFonts w:ascii="Times New Roman" w:hAnsi="Times New Roman" w:eastAsia="PMingLiU" w:cs="Times New Roman"/>
                <w:color w:val="C00000"/>
              </w:rPr>
            </w:pPr>
          </w:p>
        </w:tc>
        <w:tc>
          <w:tcPr>
            <w:tcW w:w="757" w:type="dxa"/>
            <w:vMerge w:val="continue"/>
            <w:tcBorders>
              <w:left w:val="nil"/>
              <w:bottom w:val="nil"/>
              <w:right w:val="nil"/>
            </w:tcBorders>
          </w:tcPr>
          <w:p w14:paraId="4D2B7001">
            <w:pPr>
              <w:jc w:val="center"/>
              <w:rPr>
                <w:rFonts w:ascii="Times New Roman" w:hAnsi="Times New Roman" w:eastAsia="PMingLiU" w:cs="Times New Roman"/>
                <w:color w:val="C00000"/>
              </w:rPr>
            </w:pPr>
          </w:p>
        </w:tc>
      </w:tr>
      <w:tr w14:paraId="76B5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restart"/>
            <w:tcBorders>
              <w:top w:val="nil"/>
              <w:left w:val="nil"/>
              <w:right w:val="nil"/>
            </w:tcBorders>
          </w:tcPr>
          <w:p w14:paraId="22988E01">
            <w:pPr>
              <w:rPr>
                <w:rFonts w:ascii="Times New Roman" w:hAnsi="Times New Roman" w:eastAsia="PMingLiU" w:cs="Times New Roman"/>
                <w:color w:val="C00000"/>
              </w:rPr>
            </w:pPr>
            <w:r>
              <w:rPr>
                <w:rFonts w:hint="eastAsia" w:ascii="Times New Roman" w:hAnsi="Times New Roman" w:cs="Times New Roman"/>
                <w:color w:val="C00000"/>
                <w:lang w:eastAsia="zh-CN"/>
              </w:rPr>
              <w:t>R</w:t>
            </w:r>
            <w:r>
              <w:rPr>
                <w:rFonts w:hint="eastAsia" w:ascii="Times New Roman" w:hAnsi="Times New Roman" w:cs="Times New Roman"/>
                <w:color w:val="C00000"/>
              </w:rPr>
              <w:t>epresentation</w:t>
            </w:r>
          </w:p>
        </w:tc>
        <w:tc>
          <w:tcPr>
            <w:tcW w:w="1526" w:type="dxa"/>
            <w:tcBorders>
              <w:top w:val="nil"/>
              <w:left w:val="nil"/>
              <w:bottom w:val="nil"/>
              <w:right w:val="nil"/>
            </w:tcBorders>
          </w:tcPr>
          <w:p w14:paraId="26796973">
            <w:pPr>
              <w:rPr>
                <w:rFonts w:ascii="Times New Roman" w:hAnsi="Times New Roman" w:eastAsia="PMingLiU" w:cs="Times New Roman"/>
                <w:color w:val="C00000"/>
              </w:rPr>
            </w:pPr>
            <w:r>
              <w:rPr>
                <w:rFonts w:ascii="Times New Roman" w:hAnsi="Times New Roman" w:eastAsia="PMingLiU" w:cs="Times New Roman"/>
                <w:color w:val="C00000"/>
              </w:rPr>
              <w:t>Experimental</w:t>
            </w:r>
          </w:p>
        </w:tc>
        <w:tc>
          <w:tcPr>
            <w:tcW w:w="647" w:type="dxa"/>
            <w:tcBorders>
              <w:top w:val="nil"/>
              <w:left w:val="nil"/>
              <w:bottom w:val="nil"/>
              <w:right w:val="nil"/>
            </w:tcBorders>
          </w:tcPr>
          <w:p w14:paraId="63E50DE4">
            <w:pPr>
              <w:jc w:val="center"/>
              <w:rPr>
                <w:rFonts w:ascii="Times New Roman" w:hAnsi="Times New Roman" w:eastAsia="PMingLiU" w:cs="Times New Roman"/>
                <w:color w:val="C00000"/>
              </w:rPr>
            </w:pPr>
            <w:r>
              <w:rPr>
                <w:rFonts w:ascii="Times New Roman" w:hAnsi="Times New Roman" w:eastAsia="PMingLiU" w:cs="Times New Roman"/>
                <w:color w:val="C00000"/>
              </w:rPr>
              <w:t>60</w:t>
            </w:r>
          </w:p>
        </w:tc>
        <w:tc>
          <w:tcPr>
            <w:tcW w:w="890" w:type="dxa"/>
            <w:tcBorders>
              <w:top w:val="nil"/>
              <w:left w:val="nil"/>
              <w:bottom w:val="nil"/>
              <w:right w:val="nil"/>
            </w:tcBorders>
          </w:tcPr>
          <w:p w14:paraId="2EA2F602">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1.37</w:t>
            </w:r>
          </w:p>
        </w:tc>
        <w:tc>
          <w:tcPr>
            <w:tcW w:w="842" w:type="dxa"/>
            <w:tcBorders>
              <w:top w:val="nil"/>
              <w:left w:val="nil"/>
              <w:bottom w:val="nil"/>
              <w:right w:val="nil"/>
            </w:tcBorders>
          </w:tcPr>
          <w:p w14:paraId="2025915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0.55</w:t>
            </w:r>
          </w:p>
        </w:tc>
        <w:tc>
          <w:tcPr>
            <w:tcW w:w="1698" w:type="dxa"/>
            <w:tcBorders>
              <w:top w:val="nil"/>
              <w:left w:val="nil"/>
              <w:bottom w:val="nil"/>
              <w:right w:val="nil"/>
            </w:tcBorders>
          </w:tcPr>
          <w:p w14:paraId="560E8B0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1.30</w:t>
            </w:r>
          </w:p>
        </w:tc>
        <w:tc>
          <w:tcPr>
            <w:tcW w:w="1193" w:type="dxa"/>
            <w:tcBorders>
              <w:top w:val="nil"/>
              <w:left w:val="nil"/>
              <w:bottom w:val="nil"/>
              <w:right w:val="nil"/>
            </w:tcBorders>
          </w:tcPr>
          <w:p w14:paraId="5DAE2EF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0.06</w:t>
            </w:r>
          </w:p>
        </w:tc>
        <w:tc>
          <w:tcPr>
            <w:tcW w:w="1293" w:type="dxa"/>
            <w:vMerge w:val="restart"/>
            <w:tcBorders>
              <w:top w:val="nil"/>
              <w:left w:val="nil"/>
              <w:right w:val="nil"/>
            </w:tcBorders>
          </w:tcPr>
          <w:p w14:paraId="794F7576">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5.90</w:t>
            </w:r>
            <w:r>
              <w:rPr>
                <w:rFonts w:ascii="Times New Roman" w:hAnsi="Times New Roman" w:eastAsia="PMingLiU" w:cs="Times New Roman"/>
                <w:color w:val="C00000"/>
                <w:vertAlign w:val="superscript"/>
              </w:rPr>
              <w:t>*</w:t>
            </w:r>
          </w:p>
        </w:tc>
        <w:tc>
          <w:tcPr>
            <w:tcW w:w="757" w:type="dxa"/>
            <w:vMerge w:val="restart"/>
            <w:tcBorders>
              <w:top w:val="nil"/>
              <w:left w:val="nil"/>
              <w:right w:val="nil"/>
            </w:tcBorders>
          </w:tcPr>
          <w:p w14:paraId="7D0EC199">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0.04</w:t>
            </w:r>
          </w:p>
        </w:tc>
      </w:tr>
      <w:tr w14:paraId="1B23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continue"/>
            <w:tcBorders>
              <w:left w:val="nil"/>
              <w:bottom w:val="nil"/>
              <w:right w:val="nil"/>
            </w:tcBorders>
          </w:tcPr>
          <w:p w14:paraId="12C6E2D1">
            <w:pPr>
              <w:rPr>
                <w:rFonts w:ascii="Times New Roman" w:hAnsi="Times New Roman" w:eastAsia="PMingLiU" w:cs="Times New Roman"/>
                <w:color w:val="C00000"/>
              </w:rPr>
            </w:pPr>
          </w:p>
        </w:tc>
        <w:tc>
          <w:tcPr>
            <w:tcW w:w="1526" w:type="dxa"/>
            <w:tcBorders>
              <w:top w:val="nil"/>
              <w:left w:val="nil"/>
              <w:bottom w:val="nil"/>
              <w:right w:val="nil"/>
            </w:tcBorders>
          </w:tcPr>
          <w:p w14:paraId="7B17D90D">
            <w:pPr>
              <w:rPr>
                <w:rFonts w:ascii="Times New Roman" w:hAnsi="Times New Roman" w:eastAsia="PMingLiU" w:cs="Times New Roman"/>
                <w:color w:val="C00000"/>
              </w:rPr>
            </w:pPr>
            <w:r>
              <w:rPr>
                <w:rFonts w:ascii="Times New Roman" w:hAnsi="Times New Roman" w:eastAsia="PMingLiU" w:cs="Times New Roman"/>
                <w:color w:val="C00000"/>
              </w:rPr>
              <w:t>Control</w:t>
            </w:r>
          </w:p>
        </w:tc>
        <w:tc>
          <w:tcPr>
            <w:tcW w:w="647" w:type="dxa"/>
            <w:tcBorders>
              <w:top w:val="nil"/>
              <w:left w:val="nil"/>
              <w:bottom w:val="nil"/>
              <w:right w:val="nil"/>
            </w:tcBorders>
          </w:tcPr>
          <w:p w14:paraId="2A96B7D1">
            <w:pPr>
              <w:jc w:val="center"/>
              <w:rPr>
                <w:rFonts w:ascii="Times New Roman" w:hAnsi="Times New Roman" w:eastAsia="PMingLiU" w:cs="Times New Roman"/>
                <w:color w:val="C00000"/>
              </w:rPr>
            </w:pPr>
            <w:r>
              <w:rPr>
                <w:rFonts w:ascii="Times New Roman" w:hAnsi="Times New Roman" w:eastAsia="PMingLiU" w:cs="Times New Roman"/>
                <w:color w:val="C00000"/>
              </w:rPr>
              <w:t>58</w:t>
            </w:r>
          </w:p>
        </w:tc>
        <w:tc>
          <w:tcPr>
            <w:tcW w:w="890" w:type="dxa"/>
            <w:tcBorders>
              <w:top w:val="nil"/>
              <w:left w:val="nil"/>
              <w:bottom w:val="nil"/>
              <w:right w:val="nil"/>
            </w:tcBorders>
          </w:tcPr>
          <w:p w14:paraId="2736A600">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1.02</w:t>
            </w:r>
          </w:p>
        </w:tc>
        <w:tc>
          <w:tcPr>
            <w:tcW w:w="842" w:type="dxa"/>
            <w:tcBorders>
              <w:top w:val="nil"/>
              <w:left w:val="nil"/>
              <w:bottom w:val="nil"/>
              <w:right w:val="nil"/>
            </w:tcBorders>
          </w:tcPr>
          <w:p w14:paraId="0351449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0.44</w:t>
            </w:r>
          </w:p>
        </w:tc>
        <w:tc>
          <w:tcPr>
            <w:tcW w:w="1698" w:type="dxa"/>
            <w:tcBorders>
              <w:top w:val="nil"/>
              <w:left w:val="nil"/>
              <w:bottom w:val="nil"/>
              <w:right w:val="nil"/>
            </w:tcBorders>
          </w:tcPr>
          <w:p w14:paraId="34D4CBB0">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1.08</w:t>
            </w:r>
          </w:p>
        </w:tc>
        <w:tc>
          <w:tcPr>
            <w:tcW w:w="1193" w:type="dxa"/>
            <w:tcBorders>
              <w:top w:val="nil"/>
              <w:left w:val="nil"/>
              <w:bottom w:val="nil"/>
              <w:right w:val="nil"/>
            </w:tcBorders>
          </w:tcPr>
          <w:p w14:paraId="6E7D0D0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0.06</w:t>
            </w:r>
          </w:p>
        </w:tc>
        <w:tc>
          <w:tcPr>
            <w:tcW w:w="1293" w:type="dxa"/>
            <w:vMerge w:val="continue"/>
            <w:tcBorders>
              <w:left w:val="nil"/>
              <w:bottom w:val="nil"/>
              <w:right w:val="nil"/>
            </w:tcBorders>
          </w:tcPr>
          <w:p w14:paraId="45A1CA8D">
            <w:pPr>
              <w:jc w:val="center"/>
              <w:rPr>
                <w:rFonts w:ascii="Times New Roman" w:hAnsi="Times New Roman" w:eastAsia="PMingLiU" w:cs="Times New Roman"/>
                <w:color w:val="C00000"/>
              </w:rPr>
            </w:pPr>
          </w:p>
        </w:tc>
        <w:tc>
          <w:tcPr>
            <w:tcW w:w="757" w:type="dxa"/>
            <w:vMerge w:val="continue"/>
            <w:tcBorders>
              <w:left w:val="nil"/>
              <w:bottom w:val="nil"/>
              <w:right w:val="nil"/>
            </w:tcBorders>
          </w:tcPr>
          <w:p w14:paraId="2600DB52">
            <w:pPr>
              <w:jc w:val="center"/>
              <w:rPr>
                <w:rFonts w:ascii="Times New Roman" w:hAnsi="Times New Roman" w:eastAsia="PMingLiU" w:cs="Times New Roman"/>
                <w:color w:val="C00000"/>
              </w:rPr>
            </w:pPr>
          </w:p>
        </w:tc>
      </w:tr>
      <w:tr w14:paraId="5568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restart"/>
            <w:tcBorders>
              <w:top w:val="nil"/>
              <w:left w:val="nil"/>
              <w:right w:val="nil"/>
            </w:tcBorders>
          </w:tcPr>
          <w:p w14:paraId="45726F40">
            <w:pPr>
              <w:rPr>
                <w:rFonts w:ascii="Times New Roman" w:hAnsi="Times New Roman" w:eastAsia="PMingLiU" w:cs="Times New Roman"/>
                <w:color w:val="C00000"/>
              </w:rPr>
            </w:pPr>
            <w:r>
              <w:rPr>
                <w:rFonts w:hint="eastAsia" w:ascii="Times New Roman" w:hAnsi="Times New Roman" w:cs="Times New Roman"/>
                <w:color w:val="C00000"/>
                <w:lang w:eastAsia="zh-CN"/>
              </w:rPr>
              <w:t>M</w:t>
            </w:r>
            <w:r>
              <w:rPr>
                <w:rFonts w:hint="eastAsia" w:ascii="Times New Roman" w:hAnsi="Times New Roman" w:cs="Times New Roman"/>
                <w:color w:val="C00000"/>
              </w:rPr>
              <w:t>odularity</w:t>
            </w:r>
          </w:p>
        </w:tc>
        <w:tc>
          <w:tcPr>
            <w:tcW w:w="1526" w:type="dxa"/>
            <w:tcBorders>
              <w:top w:val="nil"/>
              <w:left w:val="nil"/>
              <w:bottom w:val="nil"/>
              <w:right w:val="nil"/>
            </w:tcBorders>
          </w:tcPr>
          <w:p w14:paraId="49A2784B">
            <w:pPr>
              <w:rPr>
                <w:rFonts w:ascii="Times New Roman" w:hAnsi="Times New Roman" w:eastAsia="PMingLiU" w:cs="Times New Roman"/>
                <w:color w:val="C00000"/>
              </w:rPr>
            </w:pPr>
            <w:r>
              <w:rPr>
                <w:rFonts w:ascii="Times New Roman" w:hAnsi="Times New Roman" w:eastAsia="PMingLiU" w:cs="Times New Roman"/>
                <w:color w:val="C00000"/>
              </w:rPr>
              <w:t>Experimental</w:t>
            </w:r>
          </w:p>
        </w:tc>
        <w:tc>
          <w:tcPr>
            <w:tcW w:w="647" w:type="dxa"/>
            <w:tcBorders>
              <w:top w:val="nil"/>
              <w:left w:val="nil"/>
              <w:bottom w:val="nil"/>
              <w:right w:val="nil"/>
            </w:tcBorders>
          </w:tcPr>
          <w:p w14:paraId="63E6559B">
            <w:pPr>
              <w:jc w:val="center"/>
              <w:rPr>
                <w:rFonts w:ascii="Times New Roman" w:hAnsi="Times New Roman" w:eastAsia="PMingLiU" w:cs="Times New Roman"/>
                <w:color w:val="C00000"/>
              </w:rPr>
            </w:pPr>
            <w:r>
              <w:rPr>
                <w:rFonts w:ascii="Times New Roman" w:hAnsi="Times New Roman" w:eastAsia="PMingLiU" w:cs="Times New Roman"/>
                <w:color w:val="C00000"/>
              </w:rPr>
              <w:t>60</w:t>
            </w:r>
          </w:p>
        </w:tc>
        <w:tc>
          <w:tcPr>
            <w:tcW w:w="890" w:type="dxa"/>
            <w:tcBorders>
              <w:top w:val="nil"/>
              <w:left w:val="nil"/>
              <w:bottom w:val="nil"/>
              <w:right w:val="nil"/>
            </w:tcBorders>
          </w:tcPr>
          <w:p w14:paraId="5E2B9515">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1.52</w:t>
            </w:r>
          </w:p>
        </w:tc>
        <w:tc>
          <w:tcPr>
            <w:tcW w:w="842" w:type="dxa"/>
            <w:tcBorders>
              <w:top w:val="nil"/>
              <w:left w:val="nil"/>
              <w:bottom w:val="nil"/>
              <w:right w:val="nil"/>
            </w:tcBorders>
          </w:tcPr>
          <w:p w14:paraId="5E35FB2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0.50</w:t>
            </w:r>
          </w:p>
        </w:tc>
        <w:tc>
          <w:tcPr>
            <w:tcW w:w="1698" w:type="dxa"/>
            <w:tcBorders>
              <w:top w:val="nil"/>
              <w:left w:val="nil"/>
              <w:bottom w:val="nil"/>
              <w:right w:val="nil"/>
            </w:tcBorders>
          </w:tcPr>
          <w:p w14:paraId="41BDD26E">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1.54</w:t>
            </w:r>
          </w:p>
        </w:tc>
        <w:tc>
          <w:tcPr>
            <w:tcW w:w="1193" w:type="dxa"/>
            <w:tcBorders>
              <w:top w:val="nil"/>
              <w:left w:val="nil"/>
              <w:bottom w:val="nil"/>
              <w:right w:val="nil"/>
            </w:tcBorders>
          </w:tcPr>
          <w:p w14:paraId="3B13A0EF">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0.06</w:t>
            </w:r>
          </w:p>
        </w:tc>
        <w:tc>
          <w:tcPr>
            <w:tcW w:w="1293" w:type="dxa"/>
            <w:vMerge w:val="restart"/>
            <w:tcBorders>
              <w:top w:val="nil"/>
              <w:left w:val="nil"/>
              <w:right w:val="nil"/>
            </w:tcBorders>
          </w:tcPr>
          <w:p w14:paraId="0443677F">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0.56</w:t>
            </w:r>
          </w:p>
        </w:tc>
        <w:tc>
          <w:tcPr>
            <w:tcW w:w="757" w:type="dxa"/>
            <w:vMerge w:val="restart"/>
            <w:tcBorders>
              <w:top w:val="nil"/>
              <w:left w:val="nil"/>
              <w:right w:val="nil"/>
            </w:tcBorders>
          </w:tcPr>
          <w:p w14:paraId="68B2464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0.00</w:t>
            </w:r>
          </w:p>
        </w:tc>
      </w:tr>
      <w:tr w14:paraId="76EE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continue"/>
            <w:tcBorders>
              <w:left w:val="nil"/>
              <w:bottom w:val="nil"/>
              <w:right w:val="nil"/>
            </w:tcBorders>
          </w:tcPr>
          <w:p w14:paraId="0922C052">
            <w:pPr>
              <w:rPr>
                <w:rFonts w:ascii="Times New Roman" w:hAnsi="Times New Roman" w:eastAsia="PMingLiU" w:cs="Times New Roman"/>
                <w:color w:val="C00000"/>
              </w:rPr>
            </w:pPr>
          </w:p>
        </w:tc>
        <w:tc>
          <w:tcPr>
            <w:tcW w:w="1526" w:type="dxa"/>
            <w:tcBorders>
              <w:top w:val="nil"/>
              <w:left w:val="nil"/>
              <w:bottom w:val="nil"/>
              <w:right w:val="nil"/>
            </w:tcBorders>
          </w:tcPr>
          <w:p w14:paraId="7C384BF2">
            <w:pPr>
              <w:rPr>
                <w:rFonts w:ascii="Times New Roman" w:hAnsi="Times New Roman" w:eastAsia="PMingLiU" w:cs="Times New Roman"/>
                <w:color w:val="C00000"/>
              </w:rPr>
            </w:pPr>
            <w:r>
              <w:rPr>
                <w:rFonts w:ascii="Times New Roman" w:hAnsi="Times New Roman" w:eastAsia="PMingLiU" w:cs="Times New Roman"/>
                <w:color w:val="C00000"/>
              </w:rPr>
              <w:t>Control</w:t>
            </w:r>
          </w:p>
        </w:tc>
        <w:tc>
          <w:tcPr>
            <w:tcW w:w="647" w:type="dxa"/>
            <w:tcBorders>
              <w:top w:val="nil"/>
              <w:left w:val="nil"/>
              <w:bottom w:val="nil"/>
              <w:right w:val="nil"/>
            </w:tcBorders>
          </w:tcPr>
          <w:p w14:paraId="4CA0ABF1">
            <w:pPr>
              <w:jc w:val="center"/>
              <w:rPr>
                <w:rFonts w:ascii="Times New Roman" w:hAnsi="Times New Roman" w:eastAsia="PMingLiU" w:cs="Times New Roman"/>
                <w:color w:val="C00000"/>
              </w:rPr>
            </w:pPr>
            <w:r>
              <w:rPr>
                <w:rFonts w:ascii="Times New Roman" w:hAnsi="Times New Roman" w:eastAsia="PMingLiU" w:cs="Times New Roman"/>
                <w:color w:val="C00000"/>
              </w:rPr>
              <w:t>58</w:t>
            </w:r>
          </w:p>
        </w:tc>
        <w:tc>
          <w:tcPr>
            <w:tcW w:w="890" w:type="dxa"/>
            <w:tcBorders>
              <w:top w:val="nil"/>
              <w:left w:val="nil"/>
              <w:bottom w:val="nil"/>
              <w:right w:val="nil"/>
            </w:tcBorders>
          </w:tcPr>
          <w:p w14:paraId="6B265B79">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1.50</w:t>
            </w:r>
          </w:p>
        </w:tc>
        <w:tc>
          <w:tcPr>
            <w:tcW w:w="842" w:type="dxa"/>
            <w:tcBorders>
              <w:top w:val="nil"/>
              <w:left w:val="nil"/>
              <w:bottom w:val="nil"/>
              <w:right w:val="nil"/>
            </w:tcBorders>
          </w:tcPr>
          <w:p w14:paraId="55EB7CF7">
            <w:pPr>
              <w:jc w:val="center"/>
              <w:rPr>
                <w:rFonts w:ascii="Times New Roman" w:hAnsi="Times New Roman" w:eastAsia="PMingLiU" w:cs="Times New Roman"/>
                <w:color w:val="C00000"/>
              </w:rPr>
            </w:pPr>
            <w:r>
              <w:rPr>
                <w:rFonts w:hint="eastAsia" w:ascii="Times New Roman" w:hAnsi="Times New Roman" w:eastAsia="PMingLiU" w:cs="Times New Roman"/>
                <w:color w:val="C00000"/>
                <w:lang w:eastAsia="zh-CN"/>
              </w:rPr>
              <w:t>0.50</w:t>
            </w:r>
          </w:p>
        </w:tc>
        <w:tc>
          <w:tcPr>
            <w:tcW w:w="1698" w:type="dxa"/>
            <w:tcBorders>
              <w:top w:val="nil"/>
              <w:left w:val="nil"/>
              <w:bottom w:val="nil"/>
              <w:right w:val="nil"/>
            </w:tcBorders>
          </w:tcPr>
          <w:p w14:paraId="792F1022">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1.48</w:t>
            </w:r>
          </w:p>
        </w:tc>
        <w:tc>
          <w:tcPr>
            <w:tcW w:w="1193" w:type="dxa"/>
            <w:tcBorders>
              <w:top w:val="nil"/>
              <w:left w:val="nil"/>
              <w:bottom w:val="nil"/>
              <w:right w:val="nil"/>
            </w:tcBorders>
          </w:tcPr>
          <w:p w14:paraId="4638D7E8">
            <w:pPr>
              <w:jc w:val="center"/>
              <w:rPr>
                <w:rFonts w:ascii="Times New Roman" w:hAnsi="Times New Roman" w:eastAsia="PMingLiU" w:cs="Times New Roman"/>
                <w:color w:val="C00000"/>
              </w:rPr>
            </w:pPr>
            <w:r>
              <w:rPr>
                <w:rFonts w:hint="eastAsia" w:ascii="Times New Roman" w:hAnsi="Times New Roman" w:eastAsia="PMingLiU" w:cs="Times New Roman"/>
                <w:color w:val="C00000"/>
                <w:lang w:eastAsia="zh-CN"/>
              </w:rPr>
              <w:t>0.06</w:t>
            </w:r>
          </w:p>
        </w:tc>
        <w:tc>
          <w:tcPr>
            <w:tcW w:w="1293" w:type="dxa"/>
            <w:vMerge w:val="continue"/>
            <w:tcBorders>
              <w:left w:val="nil"/>
              <w:bottom w:val="nil"/>
              <w:right w:val="nil"/>
            </w:tcBorders>
          </w:tcPr>
          <w:p w14:paraId="080E86B4">
            <w:pPr>
              <w:jc w:val="center"/>
              <w:rPr>
                <w:rFonts w:ascii="Times New Roman" w:hAnsi="Times New Roman" w:eastAsia="PMingLiU" w:cs="Times New Roman"/>
                <w:color w:val="C00000"/>
              </w:rPr>
            </w:pPr>
          </w:p>
        </w:tc>
        <w:tc>
          <w:tcPr>
            <w:tcW w:w="757" w:type="dxa"/>
            <w:vMerge w:val="continue"/>
            <w:tcBorders>
              <w:left w:val="nil"/>
              <w:bottom w:val="nil"/>
              <w:right w:val="nil"/>
            </w:tcBorders>
          </w:tcPr>
          <w:p w14:paraId="2AFB9E8E">
            <w:pPr>
              <w:jc w:val="center"/>
              <w:rPr>
                <w:rFonts w:ascii="Times New Roman" w:hAnsi="Times New Roman" w:eastAsia="PMingLiU" w:cs="Times New Roman"/>
                <w:color w:val="C00000"/>
              </w:rPr>
            </w:pPr>
          </w:p>
        </w:tc>
      </w:tr>
      <w:tr w14:paraId="6DC0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restart"/>
            <w:tcBorders>
              <w:top w:val="nil"/>
              <w:left w:val="nil"/>
              <w:right w:val="nil"/>
            </w:tcBorders>
          </w:tcPr>
          <w:p w14:paraId="2817959F">
            <w:pPr>
              <w:rPr>
                <w:rFonts w:ascii="Times New Roman" w:hAnsi="Times New Roman" w:cs="Times New Roman"/>
                <w:color w:val="C00000"/>
                <w:lang w:eastAsia="zh-CN"/>
              </w:rPr>
            </w:pPr>
            <w:r>
              <w:rPr>
                <w:rFonts w:hint="eastAsia" w:ascii="Times New Roman" w:hAnsi="Times New Roman" w:cs="Times New Roman"/>
                <w:color w:val="C00000"/>
                <w:lang w:eastAsia="zh-CN"/>
              </w:rPr>
              <w:t>C</w:t>
            </w:r>
            <w:r>
              <w:rPr>
                <w:rFonts w:hint="eastAsia" w:ascii="Times New Roman" w:hAnsi="Times New Roman" w:cs="Times New Roman"/>
                <w:color w:val="C00000"/>
              </w:rPr>
              <w:t>ontrol structure (</w:t>
            </w:r>
            <w:r>
              <w:rPr>
                <w:rFonts w:hint="eastAsia" w:ascii="Times New Roman" w:hAnsi="Times New Roman" w:cs="Times New Roman"/>
                <w:color w:val="C00000"/>
                <w:lang w:eastAsia="zh-CN"/>
              </w:rPr>
              <w:t>covering</w:t>
            </w:r>
            <w:r>
              <w:rPr>
                <w:rFonts w:ascii="Times New Roman" w:hAnsi="Times New Roman" w:cs="Times New Roman"/>
                <w:color w:val="C00000"/>
              </w:rPr>
              <w:t xml:space="preserve"> loop)</w:t>
            </w:r>
          </w:p>
        </w:tc>
        <w:tc>
          <w:tcPr>
            <w:tcW w:w="1526" w:type="dxa"/>
            <w:tcBorders>
              <w:top w:val="nil"/>
              <w:left w:val="nil"/>
              <w:bottom w:val="nil"/>
              <w:right w:val="nil"/>
            </w:tcBorders>
          </w:tcPr>
          <w:p w14:paraId="2F7A7E50">
            <w:pPr>
              <w:rPr>
                <w:rFonts w:ascii="Times New Roman" w:hAnsi="Times New Roman" w:eastAsia="PMingLiU" w:cs="Times New Roman"/>
                <w:color w:val="C00000"/>
              </w:rPr>
            </w:pPr>
            <w:r>
              <w:rPr>
                <w:rFonts w:ascii="Times New Roman" w:hAnsi="Times New Roman" w:eastAsia="PMingLiU" w:cs="Times New Roman"/>
                <w:color w:val="C00000"/>
              </w:rPr>
              <w:t>Experimental</w:t>
            </w:r>
          </w:p>
        </w:tc>
        <w:tc>
          <w:tcPr>
            <w:tcW w:w="647" w:type="dxa"/>
            <w:tcBorders>
              <w:top w:val="nil"/>
              <w:left w:val="nil"/>
              <w:bottom w:val="nil"/>
              <w:right w:val="nil"/>
            </w:tcBorders>
          </w:tcPr>
          <w:p w14:paraId="02DDBD54">
            <w:pPr>
              <w:jc w:val="center"/>
              <w:rPr>
                <w:rFonts w:ascii="Times New Roman" w:hAnsi="Times New Roman" w:eastAsia="PMingLiU" w:cs="Times New Roman"/>
                <w:color w:val="C00000"/>
              </w:rPr>
            </w:pPr>
            <w:r>
              <w:rPr>
                <w:rFonts w:ascii="Times New Roman" w:hAnsi="Times New Roman" w:eastAsia="PMingLiU" w:cs="Times New Roman"/>
                <w:color w:val="C00000"/>
              </w:rPr>
              <w:t>60</w:t>
            </w:r>
          </w:p>
        </w:tc>
        <w:tc>
          <w:tcPr>
            <w:tcW w:w="890" w:type="dxa"/>
            <w:tcBorders>
              <w:top w:val="nil"/>
              <w:left w:val="nil"/>
              <w:bottom w:val="nil"/>
              <w:right w:val="nil"/>
            </w:tcBorders>
          </w:tcPr>
          <w:p w14:paraId="45CD9B09">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1.88</w:t>
            </w:r>
          </w:p>
        </w:tc>
        <w:tc>
          <w:tcPr>
            <w:tcW w:w="842" w:type="dxa"/>
            <w:tcBorders>
              <w:top w:val="nil"/>
              <w:left w:val="nil"/>
              <w:bottom w:val="nil"/>
              <w:right w:val="nil"/>
            </w:tcBorders>
          </w:tcPr>
          <w:p w14:paraId="6596C91B">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0.32</w:t>
            </w:r>
          </w:p>
        </w:tc>
        <w:tc>
          <w:tcPr>
            <w:tcW w:w="1698" w:type="dxa"/>
            <w:tcBorders>
              <w:top w:val="nil"/>
              <w:left w:val="nil"/>
              <w:bottom w:val="nil"/>
              <w:right w:val="nil"/>
            </w:tcBorders>
          </w:tcPr>
          <w:p w14:paraId="5E633115">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1.91</w:t>
            </w:r>
          </w:p>
        </w:tc>
        <w:tc>
          <w:tcPr>
            <w:tcW w:w="1193" w:type="dxa"/>
            <w:tcBorders>
              <w:top w:val="nil"/>
              <w:left w:val="nil"/>
              <w:bottom w:val="nil"/>
              <w:right w:val="nil"/>
            </w:tcBorders>
          </w:tcPr>
          <w:p w14:paraId="46B9A2D9">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0.04</w:t>
            </w:r>
          </w:p>
        </w:tc>
        <w:tc>
          <w:tcPr>
            <w:tcW w:w="1293" w:type="dxa"/>
            <w:vMerge w:val="restart"/>
            <w:tcBorders>
              <w:top w:val="nil"/>
              <w:left w:val="nil"/>
              <w:right w:val="nil"/>
            </w:tcBorders>
          </w:tcPr>
          <w:p w14:paraId="243E0505">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5.17</w:t>
            </w:r>
            <w:r>
              <w:rPr>
                <w:rFonts w:ascii="Times New Roman" w:hAnsi="Times New Roman" w:eastAsia="PMingLiU" w:cs="Times New Roman"/>
                <w:color w:val="C00000"/>
                <w:vertAlign w:val="superscript"/>
              </w:rPr>
              <w:t>*</w:t>
            </w:r>
          </w:p>
        </w:tc>
        <w:tc>
          <w:tcPr>
            <w:tcW w:w="757" w:type="dxa"/>
            <w:vMerge w:val="restart"/>
            <w:tcBorders>
              <w:top w:val="nil"/>
              <w:left w:val="nil"/>
              <w:right w:val="nil"/>
            </w:tcBorders>
          </w:tcPr>
          <w:p w14:paraId="40662986">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0.04</w:t>
            </w:r>
          </w:p>
        </w:tc>
      </w:tr>
      <w:tr w14:paraId="2CE3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continue"/>
            <w:tcBorders>
              <w:left w:val="nil"/>
              <w:bottom w:val="nil"/>
              <w:right w:val="nil"/>
            </w:tcBorders>
          </w:tcPr>
          <w:p w14:paraId="1DC5F854">
            <w:pPr>
              <w:rPr>
                <w:rFonts w:ascii="Times New Roman" w:hAnsi="Times New Roman" w:eastAsia="PMingLiU" w:cs="Times New Roman"/>
                <w:color w:val="C00000"/>
              </w:rPr>
            </w:pPr>
          </w:p>
        </w:tc>
        <w:tc>
          <w:tcPr>
            <w:tcW w:w="1526" w:type="dxa"/>
            <w:tcBorders>
              <w:top w:val="nil"/>
              <w:left w:val="nil"/>
              <w:bottom w:val="nil"/>
              <w:right w:val="nil"/>
            </w:tcBorders>
          </w:tcPr>
          <w:p w14:paraId="6C74221C">
            <w:pPr>
              <w:rPr>
                <w:rFonts w:ascii="Times New Roman" w:hAnsi="Times New Roman" w:eastAsia="PMingLiU" w:cs="Times New Roman"/>
                <w:color w:val="C00000"/>
              </w:rPr>
            </w:pPr>
            <w:r>
              <w:rPr>
                <w:rFonts w:ascii="Times New Roman" w:hAnsi="Times New Roman" w:eastAsia="PMingLiU" w:cs="Times New Roman"/>
                <w:color w:val="C00000"/>
              </w:rPr>
              <w:t>Control</w:t>
            </w:r>
          </w:p>
        </w:tc>
        <w:tc>
          <w:tcPr>
            <w:tcW w:w="647" w:type="dxa"/>
            <w:tcBorders>
              <w:top w:val="nil"/>
              <w:left w:val="nil"/>
              <w:bottom w:val="nil"/>
              <w:right w:val="nil"/>
            </w:tcBorders>
          </w:tcPr>
          <w:p w14:paraId="6F2E11BB">
            <w:pPr>
              <w:jc w:val="center"/>
              <w:rPr>
                <w:rFonts w:ascii="Times New Roman" w:hAnsi="Times New Roman" w:eastAsia="PMingLiU" w:cs="Times New Roman"/>
                <w:color w:val="C00000"/>
              </w:rPr>
            </w:pPr>
            <w:r>
              <w:rPr>
                <w:rFonts w:ascii="Times New Roman" w:hAnsi="Times New Roman" w:eastAsia="PMingLiU" w:cs="Times New Roman"/>
                <w:color w:val="C00000"/>
              </w:rPr>
              <w:t>58</w:t>
            </w:r>
          </w:p>
        </w:tc>
        <w:tc>
          <w:tcPr>
            <w:tcW w:w="890" w:type="dxa"/>
            <w:tcBorders>
              <w:top w:val="nil"/>
              <w:left w:val="nil"/>
              <w:bottom w:val="nil"/>
              <w:right w:val="nil"/>
            </w:tcBorders>
          </w:tcPr>
          <w:p w14:paraId="5232BC80">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1.79</w:t>
            </w:r>
          </w:p>
        </w:tc>
        <w:tc>
          <w:tcPr>
            <w:tcW w:w="842" w:type="dxa"/>
            <w:tcBorders>
              <w:top w:val="nil"/>
              <w:left w:val="nil"/>
              <w:bottom w:val="nil"/>
              <w:right w:val="nil"/>
            </w:tcBorders>
          </w:tcPr>
          <w:p w14:paraId="33770D25">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0.41</w:t>
            </w:r>
          </w:p>
        </w:tc>
        <w:tc>
          <w:tcPr>
            <w:tcW w:w="1698" w:type="dxa"/>
            <w:tcBorders>
              <w:top w:val="nil"/>
              <w:left w:val="nil"/>
              <w:bottom w:val="nil"/>
              <w:right w:val="nil"/>
            </w:tcBorders>
          </w:tcPr>
          <w:p w14:paraId="6F0709CA">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1.77</w:t>
            </w:r>
          </w:p>
        </w:tc>
        <w:tc>
          <w:tcPr>
            <w:tcW w:w="1193" w:type="dxa"/>
            <w:tcBorders>
              <w:top w:val="nil"/>
              <w:left w:val="nil"/>
              <w:bottom w:val="nil"/>
              <w:right w:val="nil"/>
            </w:tcBorders>
          </w:tcPr>
          <w:p w14:paraId="5147F2E3">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0.04</w:t>
            </w:r>
          </w:p>
        </w:tc>
        <w:tc>
          <w:tcPr>
            <w:tcW w:w="1293" w:type="dxa"/>
            <w:vMerge w:val="continue"/>
            <w:tcBorders>
              <w:left w:val="nil"/>
              <w:bottom w:val="nil"/>
              <w:right w:val="nil"/>
            </w:tcBorders>
          </w:tcPr>
          <w:p w14:paraId="64A8D043">
            <w:pPr>
              <w:jc w:val="center"/>
              <w:rPr>
                <w:rFonts w:ascii="Times New Roman" w:hAnsi="Times New Roman" w:eastAsia="PMingLiU" w:cs="Times New Roman"/>
                <w:color w:val="C00000"/>
              </w:rPr>
            </w:pPr>
          </w:p>
        </w:tc>
        <w:tc>
          <w:tcPr>
            <w:tcW w:w="757" w:type="dxa"/>
            <w:vMerge w:val="continue"/>
            <w:tcBorders>
              <w:left w:val="nil"/>
              <w:bottom w:val="nil"/>
              <w:right w:val="nil"/>
            </w:tcBorders>
          </w:tcPr>
          <w:p w14:paraId="73D986EF">
            <w:pPr>
              <w:jc w:val="center"/>
              <w:rPr>
                <w:rFonts w:ascii="Times New Roman" w:hAnsi="Times New Roman" w:eastAsia="PMingLiU" w:cs="Times New Roman"/>
                <w:color w:val="C00000"/>
              </w:rPr>
            </w:pPr>
          </w:p>
        </w:tc>
      </w:tr>
      <w:tr w14:paraId="3C41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jc w:val="center"/>
        </w:trPr>
        <w:tc>
          <w:tcPr>
            <w:tcW w:w="2285" w:type="dxa"/>
            <w:vMerge w:val="restart"/>
            <w:tcBorders>
              <w:top w:val="nil"/>
              <w:left w:val="nil"/>
              <w:right w:val="nil"/>
            </w:tcBorders>
          </w:tcPr>
          <w:p w14:paraId="2E7510BA">
            <w:pPr>
              <w:rPr>
                <w:rFonts w:ascii="Times New Roman" w:hAnsi="Times New Roman" w:eastAsia="PMingLiU" w:cs="Times New Roman"/>
                <w:color w:val="C00000"/>
              </w:rPr>
            </w:pPr>
            <w:r>
              <w:rPr>
                <w:rFonts w:hint="eastAsia" w:ascii="Times New Roman" w:hAnsi="Times New Roman" w:cs="Times New Roman"/>
                <w:color w:val="C00000"/>
                <w:lang w:eastAsia="zh-CN"/>
              </w:rPr>
              <w:t>D</w:t>
            </w:r>
            <w:r>
              <w:rPr>
                <w:rFonts w:hint="eastAsia" w:ascii="Times New Roman" w:hAnsi="Times New Roman" w:cs="Times New Roman"/>
                <w:color w:val="C00000"/>
              </w:rPr>
              <w:t>ebugging</w:t>
            </w:r>
          </w:p>
        </w:tc>
        <w:tc>
          <w:tcPr>
            <w:tcW w:w="1526" w:type="dxa"/>
            <w:tcBorders>
              <w:top w:val="nil"/>
              <w:left w:val="nil"/>
              <w:bottom w:val="nil"/>
              <w:right w:val="nil"/>
            </w:tcBorders>
          </w:tcPr>
          <w:p w14:paraId="5B3758A9">
            <w:pPr>
              <w:rPr>
                <w:rFonts w:ascii="Times New Roman" w:hAnsi="Times New Roman" w:eastAsia="PMingLiU" w:cs="Times New Roman"/>
                <w:color w:val="C00000"/>
              </w:rPr>
            </w:pPr>
            <w:r>
              <w:rPr>
                <w:rFonts w:ascii="Times New Roman" w:hAnsi="Times New Roman" w:eastAsia="PMingLiU" w:cs="Times New Roman"/>
                <w:color w:val="C00000"/>
              </w:rPr>
              <w:t>Experimental</w:t>
            </w:r>
          </w:p>
        </w:tc>
        <w:tc>
          <w:tcPr>
            <w:tcW w:w="647" w:type="dxa"/>
            <w:tcBorders>
              <w:top w:val="nil"/>
              <w:left w:val="nil"/>
              <w:bottom w:val="nil"/>
              <w:right w:val="nil"/>
            </w:tcBorders>
          </w:tcPr>
          <w:p w14:paraId="313F72DB">
            <w:pPr>
              <w:jc w:val="center"/>
              <w:rPr>
                <w:rFonts w:ascii="Times New Roman" w:hAnsi="Times New Roman" w:eastAsia="PMingLiU" w:cs="Times New Roman"/>
                <w:color w:val="C00000"/>
              </w:rPr>
            </w:pPr>
            <w:r>
              <w:rPr>
                <w:rFonts w:ascii="Times New Roman" w:hAnsi="Times New Roman" w:eastAsia="PMingLiU" w:cs="Times New Roman"/>
                <w:color w:val="C00000"/>
              </w:rPr>
              <w:t>60</w:t>
            </w:r>
          </w:p>
        </w:tc>
        <w:tc>
          <w:tcPr>
            <w:tcW w:w="890" w:type="dxa"/>
            <w:tcBorders>
              <w:top w:val="nil"/>
              <w:left w:val="nil"/>
              <w:bottom w:val="nil"/>
              <w:right w:val="nil"/>
            </w:tcBorders>
          </w:tcPr>
          <w:p w14:paraId="14811CF0">
            <w:pPr>
              <w:jc w:val="center"/>
              <w:rPr>
                <w:rFonts w:ascii="Times New Roman" w:hAnsi="Times New Roman" w:eastAsia="PMingLiU" w:cs="Times New Roman"/>
                <w:color w:val="C00000"/>
              </w:rPr>
            </w:pPr>
            <w:r>
              <w:rPr>
                <w:rFonts w:hint="eastAsia" w:ascii="Times New Roman" w:hAnsi="Times New Roman" w:eastAsia="PMingLiU" w:cs="Times New Roman"/>
                <w:color w:val="C00000"/>
                <w:lang w:eastAsia="zh-CN"/>
              </w:rPr>
              <w:t>1.75</w:t>
            </w:r>
          </w:p>
        </w:tc>
        <w:tc>
          <w:tcPr>
            <w:tcW w:w="842" w:type="dxa"/>
            <w:tcBorders>
              <w:top w:val="nil"/>
              <w:left w:val="nil"/>
              <w:bottom w:val="nil"/>
              <w:right w:val="nil"/>
            </w:tcBorders>
          </w:tcPr>
          <w:p w14:paraId="39CFB284">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0.44</w:t>
            </w:r>
          </w:p>
        </w:tc>
        <w:tc>
          <w:tcPr>
            <w:tcW w:w="1698" w:type="dxa"/>
            <w:tcBorders>
              <w:top w:val="nil"/>
              <w:left w:val="nil"/>
              <w:bottom w:val="nil"/>
              <w:right w:val="nil"/>
            </w:tcBorders>
          </w:tcPr>
          <w:p w14:paraId="72882BCE">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1.83</w:t>
            </w:r>
          </w:p>
        </w:tc>
        <w:tc>
          <w:tcPr>
            <w:tcW w:w="1193" w:type="dxa"/>
            <w:tcBorders>
              <w:top w:val="nil"/>
              <w:left w:val="nil"/>
              <w:bottom w:val="nil"/>
              <w:right w:val="nil"/>
            </w:tcBorders>
          </w:tcPr>
          <w:p w14:paraId="65279AD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0.05</w:t>
            </w:r>
          </w:p>
        </w:tc>
        <w:tc>
          <w:tcPr>
            <w:tcW w:w="1293" w:type="dxa"/>
            <w:vMerge w:val="restart"/>
            <w:tcBorders>
              <w:top w:val="nil"/>
              <w:left w:val="nil"/>
              <w:right w:val="nil"/>
            </w:tcBorders>
          </w:tcPr>
          <w:p w14:paraId="6F07C59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20.28</w:t>
            </w:r>
            <w:r>
              <w:rPr>
                <w:rFonts w:ascii="Times New Roman" w:hAnsi="Times New Roman" w:eastAsia="PMingLiU" w:cs="Times New Roman"/>
                <w:color w:val="C00000"/>
                <w:vertAlign w:val="superscript"/>
              </w:rPr>
              <w:t>***</w:t>
            </w:r>
          </w:p>
        </w:tc>
        <w:tc>
          <w:tcPr>
            <w:tcW w:w="757" w:type="dxa"/>
            <w:vMerge w:val="restart"/>
            <w:tcBorders>
              <w:top w:val="nil"/>
              <w:left w:val="nil"/>
              <w:right w:val="nil"/>
            </w:tcBorders>
          </w:tcPr>
          <w:p w14:paraId="05248D88">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0.11</w:t>
            </w:r>
          </w:p>
        </w:tc>
      </w:tr>
      <w:tr w14:paraId="3D4C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285" w:type="dxa"/>
            <w:vMerge w:val="continue"/>
            <w:tcBorders>
              <w:left w:val="nil"/>
              <w:bottom w:val="single" w:color="auto" w:sz="12" w:space="0"/>
              <w:right w:val="nil"/>
            </w:tcBorders>
          </w:tcPr>
          <w:p w14:paraId="123BFB93">
            <w:pPr>
              <w:rPr>
                <w:rFonts w:ascii="Times New Roman" w:hAnsi="Times New Roman" w:eastAsia="PMingLiU" w:cs="Times New Roman"/>
                <w:color w:val="C00000"/>
              </w:rPr>
            </w:pPr>
          </w:p>
        </w:tc>
        <w:tc>
          <w:tcPr>
            <w:tcW w:w="1526" w:type="dxa"/>
            <w:tcBorders>
              <w:top w:val="nil"/>
              <w:left w:val="nil"/>
              <w:bottom w:val="single" w:color="auto" w:sz="12" w:space="0"/>
              <w:right w:val="nil"/>
            </w:tcBorders>
          </w:tcPr>
          <w:p w14:paraId="77242E04">
            <w:pPr>
              <w:rPr>
                <w:rFonts w:ascii="Times New Roman" w:hAnsi="Times New Roman" w:eastAsia="PMingLiU" w:cs="Times New Roman"/>
                <w:color w:val="C00000"/>
              </w:rPr>
            </w:pPr>
            <w:r>
              <w:rPr>
                <w:rFonts w:ascii="Times New Roman" w:hAnsi="Times New Roman" w:eastAsia="PMingLiU" w:cs="Times New Roman"/>
                <w:color w:val="C00000"/>
              </w:rPr>
              <w:t>Control</w:t>
            </w:r>
          </w:p>
        </w:tc>
        <w:tc>
          <w:tcPr>
            <w:tcW w:w="647" w:type="dxa"/>
            <w:tcBorders>
              <w:top w:val="nil"/>
              <w:left w:val="nil"/>
              <w:bottom w:val="single" w:color="auto" w:sz="12" w:space="0"/>
              <w:right w:val="nil"/>
            </w:tcBorders>
          </w:tcPr>
          <w:p w14:paraId="75AC0A2B">
            <w:pPr>
              <w:jc w:val="center"/>
              <w:rPr>
                <w:rFonts w:ascii="Times New Roman" w:hAnsi="Times New Roman" w:eastAsia="PMingLiU" w:cs="Times New Roman"/>
                <w:color w:val="C00000"/>
              </w:rPr>
            </w:pPr>
            <w:r>
              <w:rPr>
                <w:rFonts w:ascii="Times New Roman" w:hAnsi="Times New Roman" w:eastAsia="PMingLiU" w:cs="Times New Roman"/>
                <w:color w:val="C00000"/>
              </w:rPr>
              <w:t>58</w:t>
            </w:r>
          </w:p>
        </w:tc>
        <w:tc>
          <w:tcPr>
            <w:tcW w:w="890" w:type="dxa"/>
            <w:tcBorders>
              <w:top w:val="nil"/>
              <w:left w:val="nil"/>
              <w:bottom w:val="single" w:color="auto" w:sz="12" w:space="0"/>
              <w:right w:val="nil"/>
            </w:tcBorders>
          </w:tcPr>
          <w:p w14:paraId="002F7F9F">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1.57</w:t>
            </w:r>
          </w:p>
        </w:tc>
        <w:tc>
          <w:tcPr>
            <w:tcW w:w="842" w:type="dxa"/>
            <w:tcBorders>
              <w:top w:val="nil"/>
              <w:left w:val="nil"/>
              <w:bottom w:val="single" w:color="auto" w:sz="12" w:space="0"/>
              <w:right w:val="nil"/>
            </w:tcBorders>
          </w:tcPr>
          <w:p w14:paraId="62D7544C">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0.50</w:t>
            </w:r>
          </w:p>
        </w:tc>
        <w:tc>
          <w:tcPr>
            <w:tcW w:w="1698" w:type="dxa"/>
            <w:tcBorders>
              <w:top w:val="nil"/>
              <w:left w:val="nil"/>
              <w:bottom w:val="single" w:color="auto" w:sz="12" w:space="0"/>
              <w:right w:val="nil"/>
            </w:tcBorders>
          </w:tcPr>
          <w:p w14:paraId="62DF66E6">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1.49</w:t>
            </w:r>
          </w:p>
        </w:tc>
        <w:tc>
          <w:tcPr>
            <w:tcW w:w="1193" w:type="dxa"/>
            <w:tcBorders>
              <w:top w:val="nil"/>
              <w:left w:val="nil"/>
              <w:bottom w:val="single" w:color="auto" w:sz="12" w:space="0"/>
              <w:right w:val="nil"/>
            </w:tcBorders>
          </w:tcPr>
          <w:p w14:paraId="5E7BCA01">
            <w:pPr>
              <w:jc w:val="center"/>
              <w:rPr>
                <w:rFonts w:ascii="Times New Roman" w:hAnsi="Times New Roman" w:eastAsia="PMingLiU" w:cs="Times New Roman"/>
                <w:color w:val="C00000"/>
                <w:lang w:eastAsia="zh-CN"/>
              </w:rPr>
            </w:pPr>
            <w:r>
              <w:rPr>
                <w:rFonts w:hint="eastAsia" w:ascii="Times New Roman" w:hAnsi="Times New Roman" w:eastAsia="PMingLiU" w:cs="Times New Roman"/>
                <w:color w:val="C00000"/>
                <w:lang w:eastAsia="zh-CN"/>
              </w:rPr>
              <w:t>0.05</w:t>
            </w:r>
          </w:p>
        </w:tc>
        <w:tc>
          <w:tcPr>
            <w:tcW w:w="1293" w:type="dxa"/>
            <w:vMerge w:val="continue"/>
            <w:tcBorders>
              <w:left w:val="nil"/>
              <w:bottom w:val="single" w:color="auto" w:sz="12" w:space="0"/>
              <w:right w:val="nil"/>
            </w:tcBorders>
          </w:tcPr>
          <w:p w14:paraId="467371FA">
            <w:pPr>
              <w:jc w:val="center"/>
              <w:rPr>
                <w:rFonts w:ascii="Times New Roman" w:hAnsi="Times New Roman" w:eastAsia="PMingLiU" w:cs="Times New Roman"/>
              </w:rPr>
            </w:pPr>
          </w:p>
        </w:tc>
        <w:tc>
          <w:tcPr>
            <w:tcW w:w="757" w:type="dxa"/>
            <w:vMerge w:val="continue"/>
            <w:tcBorders>
              <w:left w:val="nil"/>
              <w:bottom w:val="single" w:color="auto" w:sz="12" w:space="0"/>
              <w:right w:val="nil"/>
            </w:tcBorders>
          </w:tcPr>
          <w:p w14:paraId="51158345">
            <w:pPr>
              <w:jc w:val="center"/>
              <w:rPr>
                <w:rFonts w:ascii="Times New Roman" w:hAnsi="Times New Roman" w:eastAsia="PMingLiU" w:cs="Times New Roman"/>
              </w:rPr>
            </w:pPr>
          </w:p>
        </w:tc>
      </w:tr>
    </w:tbl>
    <w:p w14:paraId="288C0CB0">
      <w:pPr>
        <w:spacing w:line="360" w:lineRule="auto"/>
        <w:ind w:left="-161" w:leftChars="-67"/>
        <w:rPr>
          <w:rFonts w:ascii="Times New Roman" w:hAnsi="Times New Roman" w:eastAsia="標楷體" w:cs="Times New Roman"/>
          <w:iCs/>
          <w:vertAlign w:val="superscript"/>
          <w:lang w:eastAsia="zh-CN"/>
        </w:rPr>
      </w:pPr>
      <w:r>
        <w:rPr>
          <w:rFonts w:hint="eastAsia" w:ascii="Times New Roman" w:hAnsi="Times New Roman" w:eastAsia="標楷體" w:cs="Times New Roman"/>
          <w:iCs/>
          <w:vertAlign w:val="superscript"/>
          <w:lang w:eastAsia="zh-CN"/>
        </w:rPr>
        <w:t xml:space="preserve"> </w:t>
      </w:r>
      <w:r>
        <w:rPr>
          <w:rFonts w:ascii="Times New Roman" w:hAnsi="Times New Roman" w:eastAsia="標楷體" w:cs="Times New Roman"/>
          <w:i/>
          <w:vertAlign w:val="superscript"/>
        </w:rPr>
        <w:t xml:space="preserve">* p </w:t>
      </w:r>
      <w:r>
        <w:rPr>
          <w:rFonts w:ascii="Times New Roman" w:hAnsi="Times New Roman" w:eastAsia="標楷體" w:cs="Times New Roman"/>
          <w:iCs/>
          <w:vertAlign w:val="superscript"/>
        </w:rPr>
        <w:t>&lt; 0.0</w:t>
      </w:r>
      <w:r>
        <w:rPr>
          <w:rFonts w:hint="eastAsia" w:ascii="Times New Roman" w:hAnsi="Times New Roman" w:eastAsia="標楷體" w:cs="Times New Roman"/>
          <w:iCs/>
          <w:vertAlign w:val="superscript"/>
          <w:lang w:eastAsia="zh-CN"/>
        </w:rPr>
        <w:t xml:space="preserve">5; </w:t>
      </w:r>
      <w:r>
        <w:rPr>
          <w:rFonts w:ascii="Times New Roman" w:hAnsi="Times New Roman" w:eastAsia="標楷體" w:cs="Times New Roman"/>
          <w:i/>
          <w:vertAlign w:val="superscript"/>
        </w:rPr>
        <w:t xml:space="preserve">*** p </w:t>
      </w:r>
      <w:r>
        <w:rPr>
          <w:rFonts w:ascii="Times New Roman" w:hAnsi="Times New Roman" w:eastAsia="標楷體" w:cs="Times New Roman"/>
          <w:iCs/>
          <w:vertAlign w:val="superscript"/>
        </w:rPr>
        <w:t>&lt; 0.001</w:t>
      </w:r>
    </w:p>
    <w:p w14:paraId="6A70DD83">
      <w:pPr>
        <w:spacing w:line="360" w:lineRule="auto"/>
        <w:ind w:left="-161" w:leftChars="-67"/>
        <w:rPr>
          <w:rFonts w:ascii="Times New Roman" w:hAnsi="Times New Roman" w:eastAsia="標楷體" w:cs="Times New Roman"/>
          <w:iCs/>
          <w:vertAlign w:val="superscript"/>
        </w:rPr>
      </w:pPr>
    </w:p>
    <w:p w14:paraId="1B69D87C">
      <w:pPr>
        <w:pStyle w:val="20"/>
        <w:adjustRightInd w:val="0"/>
        <w:snapToGrid w:val="0"/>
        <w:spacing w:line="360" w:lineRule="auto"/>
        <w:ind w:left="360" w:leftChars="0" w:hanging="360"/>
        <w:jc w:val="both"/>
        <w:rPr>
          <w:rFonts w:ascii="Times New Roman" w:hAnsi="Times New Roman" w:cs="Times New Roman"/>
          <w:b/>
        </w:rPr>
      </w:pPr>
      <w:r>
        <w:rPr>
          <w:rFonts w:ascii="Times New Roman" w:hAnsi="Times New Roman" w:cs="Times New Roman"/>
          <w:b/>
        </w:rPr>
        <w:t>5.2 Analysis of children’s learning behavioral patterns</w:t>
      </w:r>
    </w:p>
    <w:p w14:paraId="3B454B9E">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 xml:space="preserve">The frequencies and percentages of the children’s coded behaviors in the two groups are shown in Fig. </w:t>
      </w:r>
      <w:r>
        <w:rPr>
          <w:rFonts w:hint="eastAsia" w:ascii="Times New Roman" w:hAnsi="Times New Roman" w:cs="Times New Roman"/>
        </w:rPr>
        <w:t>9</w:t>
      </w:r>
      <w:r>
        <w:rPr>
          <w:rFonts w:ascii="Times New Roman" w:hAnsi="Times New Roman" w:cs="Times New Roman"/>
        </w:rPr>
        <w:t>. A total of 998 event codes were collected from the experimental group</w:t>
      </w:r>
      <w:r>
        <w:rPr>
          <w:rFonts w:hint="eastAsia" w:ascii="Times New Roman" w:hAnsi="Times New Roman" w:cs="Times New Roman"/>
          <w:lang w:eastAsia="zh-CN"/>
        </w:rPr>
        <w:t>,</w:t>
      </w:r>
      <w:r>
        <w:rPr>
          <w:rFonts w:ascii="Times New Roman" w:hAnsi="Times New Roman" w:cs="Times New Roman"/>
        </w:rPr>
        <w:t xml:space="preserve"> and 968 were obtained from the control group. In the MRP experimental group, the most frequent behaviors were WP (i.e.</w:t>
      </w:r>
      <w:r>
        <w:rPr>
          <w:rFonts w:hint="eastAsia" w:ascii="Times New Roman" w:hAnsi="Times New Roman" w:cs="Times New Roman"/>
        </w:rPr>
        <w:t>,</w:t>
      </w:r>
      <w:r>
        <w:rPr>
          <w:rFonts w:ascii="Times New Roman" w:hAnsi="Times New Roman" w:cs="Times New Roman"/>
        </w:rPr>
        <w:t xml:space="preserve"> writing the program, 15.6%), DP (i.e.</w:t>
      </w:r>
      <w:r>
        <w:rPr>
          <w:rFonts w:hint="eastAsia" w:ascii="Times New Roman" w:hAnsi="Times New Roman" w:cs="Times New Roman"/>
        </w:rPr>
        <w:t>,</w:t>
      </w:r>
      <w:r>
        <w:rPr>
          <w:rFonts w:ascii="Times New Roman" w:hAnsi="Times New Roman" w:cs="Times New Roman"/>
        </w:rPr>
        <w:t xml:space="preserve"> discussing with p</w:t>
      </w:r>
      <w:r>
        <w:rPr>
          <w:rFonts w:hint="eastAsia" w:ascii="Times New Roman" w:hAnsi="Times New Roman" w:cs="Times New Roman"/>
        </w:rPr>
        <w:t>eer</w:t>
      </w:r>
      <w:r>
        <w:rPr>
          <w:rFonts w:ascii="Times New Roman" w:hAnsi="Times New Roman" w:cs="Times New Roman"/>
        </w:rPr>
        <w:t>s, 15.2%), and LT (i.e.</w:t>
      </w:r>
      <w:r>
        <w:rPr>
          <w:rFonts w:hint="eastAsia" w:ascii="Times New Roman" w:hAnsi="Times New Roman" w:cs="Times New Roman"/>
        </w:rPr>
        <w:t>,</w:t>
      </w:r>
      <w:r>
        <w:rPr>
          <w:rFonts w:ascii="Times New Roman" w:hAnsi="Times New Roman" w:cs="Times New Roman"/>
        </w:rPr>
        <w:t xml:space="preserve"> listening to the teacher, 14.0%). Children in the control group performed more IB (i.e.</w:t>
      </w:r>
      <w:r>
        <w:rPr>
          <w:rFonts w:hint="eastAsia" w:ascii="Times New Roman" w:hAnsi="Times New Roman" w:cs="Times New Roman"/>
        </w:rPr>
        <w:t xml:space="preserve">, </w:t>
      </w:r>
      <w:r>
        <w:rPr>
          <w:rFonts w:ascii="Times New Roman" w:hAnsi="Times New Roman" w:cs="Times New Roman"/>
        </w:rPr>
        <w:t>irrelevant behaviors, 16.5%), WP (i.e.</w:t>
      </w:r>
      <w:r>
        <w:rPr>
          <w:rFonts w:hint="eastAsia" w:ascii="Times New Roman" w:hAnsi="Times New Roman" w:cs="Times New Roman"/>
        </w:rPr>
        <w:t>,</w:t>
      </w:r>
      <w:r>
        <w:rPr>
          <w:rFonts w:ascii="Times New Roman" w:hAnsi="Times New Roman" w:cs="Times New Roman"/>
        </w:rPr>
        <w:t xml:space="preserve"> writing the program, 12.4%), and DP (i.e.</w:t>
      </w:r>
      <w:r>
        <w:rPr>
          <w:rFonts w:hint="eastAsia" w:ascii="Times New Roman" w:hAnsi="Times New Roman" w:cs="Times New Roman"/>
        </w:rPr>
        <w:t>,</w:t>
      </w:r>
      <w:r>
        <w:rPr>
          <w:rFonts w:ascii="Times New Roman" w:hAnsi="Times New Roman" w:cs="Times New Roman"/>
        </w:rPr>
        <w:t xml:space="preserve"> discussing with peers, 11.8%). In comparison, more irrelevant behaviors (e.g., chatting, distraction, or playing) appeared in the control group.</w:t>
      </w:r>
    </w:p>
    <w:p w14:paraId="7550833B">
      <w:pPr>
        <w:pStyle w:val="20"/>
        <w:adjustRightInd w:val="0"/>
        <w:snapToGrid w:val="0"/>
        <w:spacing w:line="360" w:lineRule="auto"/>
        <w:ind w:left="0" w:leftChars="0" w:firstLine="480" w:firstLineChars="200"/>
        <w:jc w:val="both"/>
        <w:rPr>
          <w:rFonts w:ascii="Times New Roman" w:hAnsi="Times New Roman" w:cs="Times New Roman"/>
        </w:rPr>
      </w:pPr>
    </w:p>
    <w:p w14:paraId="29C82879">
      <w:pPr>
        <w:spacing w:line="360" w:lineRule="auto"/>
        <w:jc w:val="center"/>
      </w:pPr>
      <w:r>
        <w:rPr>
          <w:rFonts w:hint="eastAsia"/>
        </w:rPr>
        <w:drawing>
          <wp:inline distT="0" distB="0" distL="114300" distR="114300">
            <wp:extent cx="6026150" cy="3389630"/>
            <wp:effectExtent l="0" t="0" r="19050" b="13970"/>
            <wp:docPr id="19" name="图片 19" descr="行为序列图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行为序列图_02"/>
                    <pic:cNvPicPr>
                      <a:picLocks noChangeAspect="1"/>
                    </pic:cNvPicPr>
                  </pic:nvPicPr>
                  <pic:blipFill>
                    <a:blip r:embed="rId12"/>
                    <a:stretch>
                      <a:fillRect/>
                    </a:stretch>
                  </pic:blipFill>
                  <pic:spPr>
                    <a:xfrm>
                      <a:off x="0" y="0"/>
                      <a:ext cx="6026150" cy="3389630"/>
                    </a:xfrm>
                    <a:prstGeom prst="rect">
                      <a:avLst/>
                    </a:prstGeom>
                  </pic:spPr>
                </pic:pic>
              </a:graphicData>
            </a:graphic>
          </wp:inline>
        </w:drawing>
      </w:r>
    </w:p>
    <w:p w14:paraId="1A96922A">
      <w:pPr>
        <w:spacing w:line="360" w:lineRule="auto"/>
        <w:jc w:val="center"/>
        <w:rPr>
          <w:rFonts w:ascii="Times New Roman" w:hAnsi="Times New Roman" w:eastAsia="PMingLiU" w:cs="Times New Roman"/>
        </w:rPr>
      </w:pPr>
      <w:r>
        <w:rPr>
          <w:rFonts w:ascii="Times New Roman" w:hAnsi="Times New Roman" w:eastAsia="PMingLiU" w:cs="Times New Roman"/>
        </w:rPr>
        <w:t xml:space="preserve">Fig. </w:t>
      </w:r>
      <w:r>
        <w:rPr>
          <w:rFonts w:hint="eastAsia" w:ascii="Times New Roman" w:hAnsi="Times New Roman" w:eastAsia="PMingLiU" w:cs="Times New Roman"/>
        </w:rPr>
        <w:t>9</w:t>
      </w:r>
      <w:r>
        <w:rPr>
          <w:rFonts w:ascii="Times New Roman" w:hAnsi="Times New Roman" w:eastAsia="PMingLiU" w:cs="Times New Roman"/>
        </w:rPr>
        <w:t xml:space="preserve"> Percentages of coded behaviors in the two groups</w:t>
      </w:r>
    </w:p>
    <w:p w14:paraId="10D3D3FF">
      <w:pPr>
        <w:pStyle w:val="20"/>
        <w:adjustRightInd w:val="0"/>
        <w:snapToGrid w:val="0"/>
        <w:spacing w:line="360" w:lineRule="auto"/>
        <w:ind w:left="0" w:leftChars="0"/>
        <w:jc w:val="both"/>
        <w:rPr>
          <w:rFonts w:ascii="Times New Roman" w:hAnsi="Times New Roman" w:cs="Times New Roman"/>
        </w:rPr>
      </w:pPr>
    </w:p>
    <w:p w14:paraId="31C57080">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 xml:space="preserve">According to the adjusted residuals tables for the two groups shown in Tables </w:t>
      </w:r>
      <w:r>
        <w:rPr>
          <w:rFonts w:hint="eastAsia" w:ascii="Times New Roman" w:hAnsi="Times New Roman" w:cs="Times New Roman"/>
        </w:rPr>
        <w:t>4</w:t>
      </w:r>
      <w:r>
        <w:rPr>
          <w:rFonts w:ascii="Times New Roman" w:hAnsi="Times New Roman" w:cs="Times New Roman"/>
        </w:rPr>
        <w:t xml:space="preserve"> and </w:t>
      </w:r>
      <w:r>
        <w:rPr>
          <w:rFonts w:hint="eastAsia" w:ascii="Times New Roman" w:hAnsi="Times New Roman" w:cs="Times New Roman"/>
        </w:rPr>
        <w:t>5</w:t>
      </w:r>
      <w:r>
        <w:rPr>
          <w:rFonts w:ascii="Times New Roman" w:hAnsi="Times New Roman" w:cs="Times New Roman"/>
        </w:rPr>
        <w:t>, respectively, there were 16 significant sequences obtained in the MRP experimental group, while 23 significant behavioral sequences were found in the control group.</w:t>
      </w:r>
    </w:p>
    <w:p w14:paraId="1049D92D">
      <w:pPr>
        <w:pStyle w:val="20"/>
        <w:adjustRightInd w:val="0"/>
        <w:snapToGrid w:val="0"/>
        <w:spacing w:line="360" w:lineRule="auto"/>
        <w:ind w:left="0" w:leftChars="0"/>
        <w:jc w:val="both"/>
        <w:rPr>
          <w:rFonts w:ascii="Times New Roman" w:hAnsi="Times New Roman" w:cs="Times New Roman"/>
        </w:rPr>
      </w:pPr>
    </w:p>
    <w:p w14:paraId="0BA16737">
      <w:pPr>
        <w:spacing w:line="360" w:lineRule="auto"/>
        <w:rPr>
          <w:rFonts w:ascii="Times New Roman" w:hAnsi="Times New Roman" w:eastAsia="PMingLiU" w:cs="Times New Roman"/>
          <w:lang w:eastAsia="en-GB"/>
        </w:rPr>
      </w:pPr>
      <w:r>
        <w:rPr>
          <w:rFonts w:ascii="Times New Roman" w:hAnsi="Times New Roman" w:eastAsia="PMingLiU" w:cs="Times New Roman"/>
          <w:lang w:eastAsia="en-GB"/>
        </w:rPr>
        <w:t xml:space="preserve">Table </w:t>
      </w:r>
      <w:r>
        <w:rPr>
          <w:rFonts w:hint="eastAsia" w:ascii="Times New Roman" w:hAnsi="Times New Roman" w:eastAsia="PMingLiU" w:cs="Times New Roman"/>
        </w:rPr>
        <w:t>4</w:t>
      </w:r>
      <w:r>
        <w:rPr>
          <w:rFonts w:ascii="Times New Roman" w:hAnsi="Times New Roman" w:eastAsia="PMingLiU" w:cs="Times New Roman"/>
          <w:lang w:eastAsia="en-GB"/>
        </w:rPr>
        <w:t>. The adjusted residuals tables for the experimental group.</w:t>
      </w:r>
    </w:p>
    <w:tbl>
      <w:tblPr>
        <w:tblStyle w:val="9"/>
        <w:tblW w:w="10560"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0"/>
        <w:gridCol w:w="1030"/>
        <w:gridCol w:w="1030"/>
        <w:gridCol w:w="884"/>
        <w:gridCol w:w="1030"/>
        <w:gridCol w:w="1030"/>
        <w:gridCol w:w="884"/>
        <w:gridCol w:w="884"/>
        <w:gridCol w:w="1030"/>
        <w:gridCol w:w="884"/>
        <w:gridCol w:w="884"/>
      </w:tblGrid>
      <w:tr w14:paraId="3179D05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PrEx>
        <w:trPr>
          <w:trHeight w:val="334" w:hRule="atLeast"/>
          <w:jc w:val="center"/>
        </w:trPr>
        <w:tc>
          <w:tcPr>
            <w:tcW w:w="990" w:type="dxa"/>
            <w:tcBorders>
              <w:bottom w:val="single" w:color="000000" w:sz="4" w:space="0"/>
            </w:tcBorders>
            <w:shd w:val="clear" w:color="auto" w:fill="auto"/>
            <w:noWrap/>
          </w:tcPr>
          <w:p w14:paraId="1F7E786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Given</w:t>
            </w:r>
          </w:p>
        </w:tc>
        <w:tc>
          <w:tcPr>
            <w:tcW w:w="1030" w:type="dxa"/>
            <w:tcBorders>
              <w:bottom w:val="single" w:color="000000" w:sz="4" w:space="0"/>
            </w:tcBorders>
            <w:shd w:val="clear" w:color="auto" w:fill="auto"/>
            <w:noWrap/>
          </w:tcPr>
          <w:p w14:paraId="42864C4A">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LT</w:t>
            </w:r>
          </w:p>
        </w:tc>
        <w:tc>
          <w:tcPr>
            <w:tcW w:w="1030" w:type="dxa"/>
            <w:tcBorders>
              <w:bottom w:val="single" w:color="000000" w:sz="4" w:space="0"/>
            </w:tcBorders>
            <w:shd w:val="clear" w:color="auto" w:fill="auto"/>
            <w:noWrap/>
          </w:tcPr>
          <w:p w14:paraId="7936E942">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IT</w:t>
            </w:r>
          </w:p>
        </w:tc>
        <w:tc>
          <w:tcPr>
            <w:tcW w:w="884" w:type="dxa"/>
            <w:tcBorders>
              <w:bottom w:val="single" w:color="000000" w:sz="4" w:space="0"/>
            </w:tcBorders>
            <w:shd w:val="clear" w:color="auto" w:fill="auto"/>
            <w:noWrap/>
          </w:tcPr>
          <w:p w14:paraId="2485048D">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DP</w:t>
            </w:r>
          </w:p>
        </w:tc>
        <w:tc>
          <w:tcPr>
            <w:tcW w:w="1030" w:type="dxa"/>
            <w:tcBorders>
              <w:bottom w:val="single" w:color="000000" w:sz="4" w:space="0"/>
            </w:tcBorders>
            <w:shd w:val="clear" w:color="auto" w:fill="auto"/>
            <w:noWrap/>
          </w:tcPr>
          <w:p w14:paraId="305E94E2">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WP</w:t>
            </w:r>
          </w:p>
        </w:tc>
        <w:tc>
          <w:tcPr>
            <w:tcW w:w="1030" w:type="dxa"/>
            <w:tcBorders>
              <w:bottom w:val="single" w:color="000000" w:sz="4" w:space="0"/>
            </w:tcBorders>
            <w:shd w:val="clear" w:color="auto" w:fill="auto"/>
            <w:noWrap/>
          </w:tcPr>
          <w:p w14:paraId="69861148">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EP</w:t>
            </w:r>
          </w:p>
        </w:tc>
        <w:tc>
          <w:tcPr>
            <w:tcW w:w="884" w:type="dxa"/>
            <w:tcBorders>
              <w:bottom w:val="single" w:color="000000" w:sz="4" w:space="0"/>
            </w:tcBorders>
            <w:shd w:val="clear" w:color="auto" w:fill="auto"/>
            <w:noWrap/>
          </w:tcPr>
          <w:p w14:paraId="752C0218">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AH</w:t>
            </w:r>
          </w:p>
        </w:tc>
        <w:tc>
          <w:tcPr>
            <w:tcW w:w="884" w:type="dxa"/>
            <w:tcBorders>
              <w:bottom w:val="single" w:color="000000" w:sz="4" w:space="0"/>
            </w:tcBorders>
            <w:shd w:val="clear" w:color="auto" w:fill="auto"/>
            <w:noWrap/>
          </w:tcPr>
          <w:p w14:paraId="790EAF2D">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DE</w:t>
            </w:r>
          </w:p>
        </w:tc>
        <w:tc>
          <w:tcPr>
            <w:tcW w:w="1030" w:type="dxa"/>
            <w:tcBorders>
              <w:bottom w:val="single" w:color="000000" w:sz="4" w:space="0"/>
            </w:tcBorders>
            <w:shd w:val="clear" w:color="auto" w:fill="auto"/>
            <w:noWrap/>
          </w:tcPr>
          <w:p w14:paraId="781E673E">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ET</w:t>
            </w:r>
          </w:p>
        </w:tc>
        <w:tc>
          <w:tcPr>
            <w:tcW w:w="884" w:type="dxa"/>
            <w:tcBorders>
              <w:bottom w:val="single" w:color="000000" w:sz="4" w:space="0"/>
            </w:tcBorders>
            <w:shd w:val="clear" w:color="auto" w:fill="auto"/>
            <w:noWrap/>
          </w:tcPr>
          <w:p w14:paraId="341E0728">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SH</w:t>
            </w:r>
          </w:p>
        </w:tc>
        <w:tc>
          <w:tcPr>
            <w:tcW w:w="884" w:type="dxa"/>
            <w:tcBorders>
              <w:bottom w:val="single" w:color="000000" w:sz="4" w:space="0"/>
            </w:tcBorders>
            <w:shd w:val="clear" w:color="auto" w:fill="auto"/>
            <w:noWrap/>
          </w:tcPr>
          <w:p w14:paraId="339A49C1">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IB</w:t>
            </w:r>
          </w:p>
        </w:tc>
      </w:tr>
      <w:tr w14:paraId="29BC70A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op w:val="single" w:color="000000" w:sz="4" w:space="0"/>
              <w:tl2br w:val="nil"/>
              <w:tr2bl w:val="nil"/>
            </w:tcBorders>
            <w:shd w:val="clear" w:color="auto" w:fill="auto"/>
            <w:noWrap/>
          </w:tcPr>
          <w:p w14:paraId="0C8C4202">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LT</w:t>
            </w:r>
          </w:p>
        </w:tc>
        <w:tc>
          <w:tcPr>
            <w:tcW w:w="1030" w:type="dxa"/>
            <w:tcBorders>
              <w:top w:val="single" w:color="000000" w:sz="4" w:space="0"/>
              <w:tl2br w:val="nil"/>
              <w:tr2bl w:val="nil"/>
            </w:tcBorders>
            <w:shd w:val="clear" w:color="auto" w:fill="auto"/>
            <w:noWrap/>
            <w:vAlign w:val="center"/>
          </w:tcPr>
          <w:p w14:paraId="70CEF2D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-5.05</w:t>
            </w:r>
          </w:p>
        </w:tc>
        <w:tc>
          <w:tcPr>
            <w:tcW w:w="1030" w:type="dxa"/>
            <w:tcBorders>
              <w:top w:val="single" w:color="000000" w:sz="4" w:space="0"/>
              <w:tl2br w:val="nil"/>
              <w:tr2bl w:val="nil"/>
            </w:tcBorders>
            <w:shd w:val="clear" w:color="auto" w:fill="auto"/>
            <w:noWrap/>
            <w:vAlign w:val="center"/>
          </w:tcPr>
          <w:p w14:paraId="2A93ED8A">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14.62</w:t>
            </w:r>
            <w:r>
              <w:rPr>
                <w:rFonts w:ascii="Times New Roman Regular" w:hAnsi="Times New Roman Regular" w:eastAsia="Calibri" w:cs="Times New Roman Regular"/>
                <w:kern w:val="0"/>
                <w:vertAlign w:val="superscript"/>
                <w:lang w:eastAsia="en-US"/>
              </w:rPr>
              <w:t>*</w:t>
            </w:r>
          </w:p>
        </w:tc>
        <w:tc>
          <w:tcPr>
            <w:tcW w:w="884" w:type="dxa"/>
            <w:tcBorders>
              <w:top w:val="single" w:color="000000" w:sz="4" w:space="0"/>
              <w:tl2br w:val="nil"/>
              <w:tr2bl w:val="nil"/>
            </w:tcBorders>
            <w:shd w:val="clear" w:color="auto" w:fill="auto"/>
            <w:noWrap/>
            <w:vAlign w:val="center"/>
          </w:tcPr>
          <w:p w14:paraId="5FFB383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4.93</w:t>
            </w:r>
            <w:r>
              <w:rPr>
                <w:rFonts w:ascii="Times New Roman Regular" w:hAnsi="Times New Roman Regular" w:eastAsia="Calibri" w:cs="Times New Roman Regular"/>
                <w:kern w:val="0"/>
                <w:vertAlign w:val="superscript"/>
                <w:lang w:eastAsia="en-US"/>
              </w:rPr>
              <w:t>*</w:t>
            </w:r>
          </w:p>
        </w:tc>
        <w:tc>
          <w:tcPr>
            <w:tcW w:w="1030" w:type="dxa"/>
            <w:tcBorders>
              <w:top w:val="single" w:color="000000" w:sz="4" w:space="0"/>
              <w:tl2br w:val="nil"/>
              <w:tr2bl w:val="nil"/>
            </w:tcBorders>
            <w:shd w:val="clear" w:color="auto" w:fill="auto"/>
            <w:noWrap/>
            <w:vAlign w:val="center"/>
          </w:tcPr>
          <w:p w14:paraId="70C50A8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-1.91</w:t>
            </w:r>
          </w:p>
        </w:tc>
        <w:tc>
          <w:tcPr>
            <w:tcW w:w="1030" w:type="dxa"/>
            <w:tcBorders>
              <w:top w:val="single" w:color="000000" w:sz="4" w:space="0"/>
              <w:tl2br w:val="nil"/>
              <w:tr2bl w:val="nil"/>
            </w:tcBorders>
            <w:shd w:val="clear" w:color="auto" w:fill="auto"/>
            <w:noWrap/>
            <w:vAlign w:val="center"/>
          </w:tcPr>
          <w:p w14:paraId="0F076890">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-4.26</w:t>
            </w:r>
          </w:p>
        </w:tc>
        <w:tc>
          <w:tcPr>
            <w:tcW w:w="884" w:type="dxa"/>
            <w:tcBorders>
              <w:top w:val="single" w:color="000000" w:sz="4" w:space="0"/>
              <w:tl2br w:val="nil"/>
              <w:tr2bl w:val="nil"/>
            </w:tcBorders>
            <w:shd w:val="clear" w:color="auto" w:fill="auto"/>
            <w:noWrap/>
            <w:vAlign w:val="center"/>
          </w:tcPr>
          <w:p w14:paraId="4ABAA79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-2.20</w:t>
            </w:r>
          </w:p>
        </w:tc>
        <w:tc>
          <w:tcPr>
            <w:tcW w:w="884" w:type="dxa"/>
            <w:tcBorders>
              <w:top w:val="single" w:color="000000" w:sz="4" w:space="0"/>
              <w:tl2br w:val="nil"/>
              <w:tr2bl w:val="nil"/>
            </w:tcBorders>
            <w:shd w:val="clear" w:color="auto" w:fill="auto"/>
            <w:noWrap/>
            <w:vAlign w:val="center"/>
          </w:tcPr>
          <w:p w14:paraId="64384185">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-2.55</w:t>
            </w:r>
          </w:p>
        </w:tc>
        <w:tc>
          <w:tcPr>
            <w:tcW w:w="1030" w:type="dxa"/>
            <w:tcBorders>
              <w:top w:val="single" w:color="000000" w:sz="4" w:space="0"/>
              <w:tl2br w:val="nil"/>
              <w:tr2bl w:val="nil"/>
            </w:tcBorders>
            <w:shd w:val="clear" w:color="auto" w:fill="auto"/>
            <w:noWrap/>
            <w:vAlign w:val="center"/>
          </w:tcPr>
          <w:p w14:paraId="14FE00EE">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-3.38</w:t>
            </w:r>
          </w:p>
        </w:tc>
        <w:tc>
          <w:tcPr>
            <w:tcW w:w="884" w:type="dxa"/>
            <w:tcBorders>
              <w:top w:val="single" w:color="000000" w:sz="4" w:space="0"/>
              <w:tl2br w:val="nil"/>
              <w:tr2bl w:val="nil"/>
            </w:tcBorders>
            <w:shd w:val="clear" w:color="auto" w:fill="auto"/>
            <w:noWrap/>
            <w:vAlign w:val="center"/>
          </w:tcPr>
          <w:p w14:paraId="0E68318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-4.35</w:t>
            </w:r>
          </w:p>
        </w:tc>
        <w:tc>
          <w:tcPr>
            <w:tcW w:w="884" w:type="dxa"/>
            <w:tcBorders>
              <w:top w:val="single" w:color="000000" w:sz="4" w:space="0"/>
              <w:tl2br w:val="nil"/>
              <w:tr2bl w:val="nil"/>
            </w:tcBorders>
            <w:shd w:val="clear" w:color="auto" w:fill="auto"/>
            <w:noWrap/>
            <w:vAlign w:val="center"/>
          </w:tcPr>
          <w:p w14:paraId="4959FE1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1.23</w:t>
            </w:r>
          </w:p>
        </w:tc>
      </w:tr>
      <w:tr w14:paraId="62787CD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199EDB54">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IT</w:t>
            </w:r>
          </w:p>
        </w:tc>
        <w:tc>
          <w:tcPr>
            <w:tcW w:w="1030" w:type="dxa"/>
            <w:tcBorders>
              <w:tl2br w:val="nil"/>
              <w:tr2bl w:val="nil"/>
            </w:tcBorders>
            <w:shd w:val="clear" w:color="auto" w:fill="auto"/>
            <w:noWrap/>
            <w:vAlign w:val="center"/>
          </w:tcPr>
          <w:p w14:paraId="0F2D8ABD">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17.85</w:t>
            </w:r>
            <w:r>
              <w:rPr>
                <w:rFonts w:ascii="Times New Roman Regular" w:hAnsi="Times New Roman Regular" w:eastAsia="Calibri" w:cs="Times New Roman Regular"/>
                <w:kern w:val="0"/>
                <w:vertAlign w:val="superscript"/>
                <w:lang w:eastAsia="en-US"/>
              </w:rPr>
              <w:t>*</w:t>
            </w:r>
          </w:p>
        </w:tc>
        <w:tc>
          <w:tcPr>
            <w:tcW w:w="1030" w:type="dxa"/>
            <w:tcBorders>
              <w:tl2br w:val="nil"/>
              <w:tr2bl w:val="nil"/>
            </w:tcBorders>
            <w:shd w:val="clear" w:color="auto" w:fill="auto"/>
            <w:noWrap/>
            <w:vAlign w:val="center"/>
          </w:tcPr>
          <w:p w14:paraId="438766A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-3.00</w:t>
            </w:r>
          </w:p>
        </w:tc>
        <w:tc>
          <w:tcPr>
            <w:tcW w:w="884" w:type="dxa"/>
            <w:tcBorders>
              <w:tl2br w:val="nil"/>
              <w:tr2bl w:val="nil"/>
            </w:tcBorders>
            <w:shd w:val="clear" w:color="auto" w:fill="auto"/>
            <w:noWrap/>
            <w:vAlign w:val="center"/>
          </w:tcPr>
          <w:p w14:paraId="38B5911E">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-2.70</w:t>
            </w:r>
          </w:p>
        </w:tc>
        <w:tc>
          <w:tcPr>
            <w:tcW w:w="1030" w:type="dxa"/>
            <w:tcBorders>
              <w:tl2br w:val="nil"/>
              <w:tr2bl w:val="nil"/>
            </w:tcBorders>
            <w:shd w:val="clear" w:color="auto" w:fill="auto"/>
            <w:noWrap/>
            <w:vAlign w:val="center"/>
          </w:tcPr>
          <w:p w14:paraId="25068975">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-3.52</w:t>
            </w:r>
          </w:p>
        </w:tc>
        <w:tc>
          <w:tcPr>
            <w:tcW w:w="1030" w:type="dxa"/>
            <w:tcBorders>
              <w:tl2br w:val="nil"/>
              <w:tr2bl w:val="nil"/>
            </w:tcBorders>
            <w:shd w:val="clear" w:color="auto" w:fill="auto"/>
            <w:noWrap/>
            <w:vAlign w:val="center"/>
          </w:tcPr>
          <w:p w14:paraId="43B73A20">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-2.79</w:t>
            </w:r>
          </w:p>
        </w:tc>
        <w:tc>
          <w:tcPr>
            <w:tcW w:w="884" w:type="dxa"/>
            <w:tcBorders>
              <w:tl2br w:val="nil"/>
              <w:tr2bl w:val="nil"/>
            </w:tcBorders>
            <w:shd w:val="clear" w:color="auto" w:fill="auto"/>
            <w:noWrap/>
            <w:vAlign w:val="center"/>
          </w:tcPr>
          <w:p w14:paraId="505E8003">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-1.44</w:t>
            </w:r>
          </w:p>
        </w:tc>
        <w:tc>
          <w:tcPr>
            <w:tcW w:w="884" w:type="dxa"/>
            <w:tcBorders>
              <w:tl2br w:val="nil"/>
              <w:tr2bl w:val="nil"/>
            </w:tcBorders>
            <w:shd w:val="clear" w:color="auto" w:fill="auto"/>
            <w:noWrap/>
            <w:vAlign w:val="center"/>
          </w:tcPr>
          <w:p w14:paraId="453DEF9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-1.67</w:t>
            </w:r>
          </w:p>
        </w:tc>
        <w:tc>
          <w:tcPr>
            <w:tcW w:w="1030" w:type="dxa"/>
            <w:tcBorders>
              <w:tl2br w:val="nil"/>
              <w:tr2bl w:val="nil"/>
            </w:tcBorders>
            <w:shd w:val="clear" w:color="auto" w:fill="auto"/>
            <w:noWrap/>
            <w:vAlign w:val="center"/>
          </w:tcPr>
          <w:p w14:paraId="201D5A8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-2.21</w:t>
            </w:r>
          </w:p>
        </w:tc>
        <w:tc>
          <w:tcPr>
            <w:tcW w:w="884" w:type="dxa"/>
            <w:tcBorders>
              <w:tl2br w:val="nil"/>
              <w:tr2bl w:val="nil"/>
            </w:tcBorders>
            <w:shd w:val="clear" w:color="auto" w:fill="auto"/>
            <w:noWrap/>
            <w:vAlign w:val="center"/>
          </w:tcPr>
          <w:p w14:paraId="57D4FBB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-2.85</w:t>
            </w:r>
          </w:p>
        </w:tc>
        <w:tc>
          <w:tcPr>
            <w:tcW w:w="884" w:type="dxa"/>
            <w:tcBorders>
              <w:tl2br w:val="nil"/>
              <w:tr2bl w:val="nil"/>
            </w:tcBorders>
            <w:shd w:val="clear" w:color="auto" w:fill="auto"/>
            <w:noWrap/>
            <w:vAlign w:val="center"/>
          </w:tcPr>
          <w:p w14:paraId="07E333E4">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-0.43</w:t>
            </w:r>
          </w:p>
        </w:tc>
      </w:tr>
      <w:tr w14:paraId="5B19061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shd w:val="clear" w:color="auto" w:fill="auto"/>
            <w:noWrap/>
          </w:tcPr>
          <w:p w14:paraId="73BFA5D5">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DP</w:t>
            </w:r>
          </w:p>
        </w:tc>
        <w:tc>
          <w:tcPr>
            <w:tcW w:w="1030" w:type="dxa"/>
            <w:shd w:val="clear" w:color="auto" w:fill="auto"/>
            <w:noWrap/>
            <w:vAlign w:val="center"/>
          </w:tcPr>
          <w:p w14:paraId="6AD01E8E">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-3.77</w:t>
            </w:r>
          </w:p>
        </w:tc>
        <w:tc>
          <w:tcPr>
            <w:tcW w:w="1030" w:type="dxa"/>
            <w:shd w:val="clear" w:color="auto" w:fill="auto"/>
            <w:noWrap/>
            <w:vAlign w:val="center"/>
          </w:tcPr>
          <w:p w14:paraId="0FB7F78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-3.41</w:t>
            </w:r>
          </w:p>
        </w:tc>
        <w:tc>
          <w:tcPr>
            <w:tcW w:w="884" w:type="dxa"/>
            <w:shd w:val="clear" w:color="auto" w:fill="auto"/>
            <w:noWrap/>
            <w:vAlign w:val="center"/>
          </w:tcPr>
          <w:p w14:paraId="2523F1E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-3.95</w:t>
            </w:r>
          </w:p>
        </w:tc>
        <w:tc>
          <w:tcPr>
            <w:tcW w:w="1030" w:type="dxa"/>
            <w:shd w:val="clear" w:color="auto" w:fill="auto"/>
            <w:noWrap/>
            <w:vAlign w:val="center"/>
          </w:tcPr>
          <w:p w14:paraId="62553BDB">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15.07</w:t>
            </w:r>
            <w:r>
              <w:rPr>
                <w:rFonts w:ascii="Times New Roman Regular" w:hAnsi="Times New Roman Regular" w:eastAsia="Calibri" w:cs="Times New Roman Regular"/>
                <w:kern w:val="0"/>
                <w:vertAlign w:val="superscript"/>
                <w:lang w:eastAsia="en-US"/>
              </w:rPr>
              <w:t>*</w:t>
            </w:r>
          </w:p>
        </w:tc>
        <w:tc>
          <w:tcPr>
            <w:tcW w:w="1030" w:type="dxa"/>
            <w:shd w:val="clear" w:color="auto" w:fill="auto"/>
            <w:noWrap/>
            <w:vAlign w:val="center"/>
          </w:tcPr>
          <w:p w14:paraId="7B6F130B">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-3.18</w:t>
            </w:r>
          </w:p>
        </w:tc>
        <w:tc>
          <w:tcPr>
            <w:tcW w:w="884" w:type="dxa"/>
            <w:shd w:val="clear" w:color="auto" w:fill="auto"/>
            <w:noWrap/>
            <w:vAlign w:val="center"/>
          </w:tcPr>
          <w:p w14:paraId="51B9AF67">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-1.64</w:t>
            </w:r>
          </w:p>
        </w:tc>
        <w:tc>
          <w:tcPr>
            <w:tcW w:w="884" w:type="dxa"/>
            <w:shd w:val="clear" w:color="auto" w:fill="auto"/>
            <w:noWrap/>
            <w:vAlign w:val="center"/>
          </w:tcPr>
          <w:p w14:paraId="3A8D62B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-1.90</w:t>
            </w:r>
          </w:p>
        </w:tc>
        <w:tc>
          <w:tcPr>
            <w:tcW w:w="1030" w:type="dxa"/>
            <w:shd w:val="clear" w:color="auto" w:fill="auto"/>
            <w:noWrap/>
            <w:vAlign w:val="center"/>
          </w:tcPr>
          <w:p w14:paraId="54550A2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-2.02</w:t>
            </w:r>
          </w:p>
        </w:tc>
        <w:tc>
          <w:tcPr>
            <w:tcW w:w="884" w:type="dxa"/>
            <w:shd w:val="clear" w:color="auto" w:fill="auto"/>
            <w:noWrap/>
            <w:vAlign w:val="center"/>
          </w:tcPr>
          <w:p w14:paraId="14913DDF">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0.81</w:t>
            </w:r>
          </w:p>
        </w:tc>
        <w:tc>
          <w:tcPr>
            <w:tcW w:w="884" w:type="dxa"/>
            <w:shd w:val="clear" w:color="auto" w:fill="auto"/>
            <w:noWrap/>
            <w:vAlign w:val="center"/>
          </w:tcPr>
          <w:p w14:paraId="220ECC3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0.88</w:t>
            </w:r>
          </w:p>
        </w:tc>
      </w:tr>
      <w:tr w14:paraId="4A35FC0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shd w:val="clear" w:color="auto" w:fill="auto"/>
            <w:noWrap/>
          </w:tcPr>
          <w:p w14:paraId="07CFCF32">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WP</w:t>
            </w:r>
          </w:p>
        </w:tc>
        <w:tc>
          <w:tcPr>
            <w:tcW w:w="1030" w:type="dxa"/>
            <w:shd w:val="clear" w:color="auto" w:fill="auto"/>
            <w:noWrap/>
            <w:vAlign w:val="center"/>
          </w:tcPr>
          <w:p w14:paraId="09B51EE0">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-3.88</w:t>
            </w:r>
          </w:p>
        </w:tc>
        <w:tc>
          <w:tcPr>
            <w:tcW w:w="1030" w:type="dxa"/>
            <w:shd w:val="clear" w:color="auto" w:fill="auto"/>
            <w:noWrap/>
            <w:vAlign w:val="center"/>
          </w:tcPr>
          <w:p w14:paraId="01A6D52E">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-3.52</w:t>
            </w:r>
          </w:p>
        </w:tc>
        <w:tc>
          <w:tcPr>
            <w:tcW w:w="884" w:type="dxa"/>
            <w:shd w:val="clear" w:color="auto" w:fill="auto"/>
            <w:noWrap/>
            <w:vAlign w:val="center"/>
          </w:tcPr>
          <w:p w14:paraId="27D1877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1.41</w:t>
            </w:r>
          </w:p>
        </w:tc>
        <w:tc>
          <w:tcPr>
            <w:tcW w:w="1030" w:type="dxa"/>
            <w:shd w:val="clear" w:color="auto" w:fill="auto"/>
            <w:noWrap/>
            <w:vAlign w:val="center"/>
          </w:tcPr>
          <w:p w14:paraId="4B73DC87">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-3.80</w:t>
            </w:r>
          </w:p>
        </w:tc>
        <w:tc>
          <w:tcPr>
            <w:tcW w:w="1030" w:type="dxa"/>
            <w:shd w:val="clear" w:color="auto" w:fill="auto"/>
            <w:noWrap/>
            <w:vAlign w:val="center"/>
          </w:tcPr>
          <w:p w14:paraId="01013803">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17.70</w:t>
            </w:r>
            <w:r>
              <w:rPr>
                <w:rFonts w:ascii="Times New Roman Regular" w:hAnsi="Times New Roman Regular" w:eastAsia="Calibri" w:cs="Times New Roman Regular"/>
                <w:kern w:val="0"/>
                <w:vertAlign w:val="superscript"/>
                <w:lang w:eastAsia="en-US"/>
              </w:rPr>
              <w:t>*</w:t>
            </w:r>
          </w:p>
        </w:tc>
        <w:tc>
          <w:tcPr>
            <w:tcW w:w="884" w:type="dxa"/>
            <w:shd w:val="clear" w:color="auto" w:fill="auto"/>
            <w:noWrap/>
            <w:vAlign w:val="center"/>
          </w:tcPr>
          <w:p w14:paraId="7A75236D">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4.80</w:t>
            </w:r>
            <w:r>
              <w:rPr>
                <w:rFonts w:ascii="Times New Roman Regular" w:hAnsi="Times New Roman Regular" w:eastAsia="Calibri" w:cs="Times New Roman Regular"/>
                <w:kern w:val="0"/>
                <w:vertAlign w:val="superscript"/>
                <w:lang w:eastAsia="en-US"/>
              </w:rPr>
              <w:t>*</w:t>
            </w:r>
          </w:p>
        </w:tc>
        <w:tc>
          <w:tcPr>
            <w:tcW w:w="884" w:type="dxa"/>
            <w:shd w:val="clear" w:color="auto" w:fill="auto"/>
            <w:noWrap/>
            <w:vAlign w:val="center"/>
          </w:tcPr>
          <w:p w14:paraId="270CEB5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-1.96</w:t>
            </w:r>
          </w:p>
        </w:tc>
        <w:tc>
          <w:tcPr>
            <w:tcW w:w="1030" w:type="dxa"/>
            <w:shd w:val="clear" w:color="auto" w:fill="auto"/>
            <w:noWrap/>
            <w:vAlign w:val="center"/>
          </w:tcPr>
          <w:p w14:paraId="05AC062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-2.60</w:t>
            </w:r>
          </w:p>
        </w:tc>
        <w:tc>
          <w:tcPr>
            <w:tcW w:w="884" w:type="dxa"/>
            <w:shd w:val="clear" w:color="auto" w:fill="auto"/>
            <w:noWrap/>
            <w:vAlign w:val="center"/>
          </w:tcPr>
          <w:p w14:paraId="73189675">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-3.35</w:t>
            </w:r>
          </w:p>
        </w:tc>
        <w:tc>
          <w:tcPr>
            <w:tcW w:w="884" w:type="dxa"/>
            <w:shd w:val="clear" w:color="auto" w:fill="auto"/>
            <w:noWrap/>
            <w:vAlign w:val="center"/>
          </w:tcPr>
          <w:p w14:paraId="70233D5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-2.88</w:t>
            </w:r>
          </w:p>
        </w:tc>
      </w:tr>
      <w:tr w14:paraId="55946AD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2684E106">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EP</w:t>
            </w:r>
          </w:p>
        </w:tc>
        <w:tc>
          <w:tcPr>
            <w:tcW w:w="1030" w:type="dxa"/>
            <w:tcBorders>
              <w:tl2br w:val="nil"/>
              <w:tr2bl w:val="nil"/>
            </w:tcBorders>
            <w:shd w:val="clear" w:color="auto" w:fill="auto"/>
            <w:noWrap/>
            <w:vAlign w:val="center"/>
          </w:tcPr>
          <w:p w14:paraId="4922918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-3.08</w:t>
            </w:r>
          </w:p>
        </w:tc>
        <w:tc>
          <w:tcPr>
            <w:tcW w:w="1030" w:type="dxa"/>
            <w:tcBorders>
              <w:tl2br w:val="nil"/>
              <w:tr2bl w:val="nil"/>
            </w:tcBorders>
            <w:shd w:val="clear" w:color="auto" w:fill="auto"/>
            <w:noWrap/>
            <w:vAlign w:val="center"/>
          </w:tcPr>
          <w:p w14:paraId="055B57E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-2.79</w:t>
            </w:r>
          </w:p>
        </w:tc>
        <w:tc>
          <w:tcPr>
            <w:tcW w:w="884" w:type="dxa"/>
            <w:tcBorders>
              <w:tl2br w:val="nil"/>
              <w:tr2bl w:val="nil"/>
            </w:tcBorders>
            <w:shd w:val="clear" w:color="auto" w:fill="auto"/>
            <w:noWrap/>
            <w:vAlign w:val="center"/>
          </w:tcPr>
          <w:p w14:paraId="5128C5FE">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1.66</w:t>
            </w:r>
          </w:p>
        </w:tc>
        <w:tc>
          <w:tcPr>
            <w:tcW w:w="1030" w:type="dxa"/>
            <w:tcBorders>
              <w:tl2br w:val="nil"/>
              <w:tr2bl w:val="nil"/>
            </w:tcBorders>
            <w:shd w:val="clear" w:color="auto" w:fill="auto"/>
            <w:noWrap/>
            <w:vAlign w:val="center"/>
          </w:tcPr>
          <w:p w14:paraId="44CB614A">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-3.28</w:t>
            </w:r>
          </w:p>
        </w:tc>
        <w:tc>
          <w:tcPr>
            <w:tcW w:w="1030" w:type="dxa"/>
            <w:tcBorders>
              <w:tl2br w:val="nil"/>
              <w:tr2bl w:val="nil"/>
            </w:tcBorders>
            <w:shd w:val="clear" w:color="auto" w:fill="auto"/>
            <w:noWrap/>
            <w:vAlign w:val="center"/>
          </w:tcPr>
          <w:p w14:paraId="67A65A65">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-2.60</w:t>
            </w:r>
          </w:p>
        </w:tc>
        <w:tc>
          <w:tcPr>
            <w:tcW w:w="884" w:type="dxa"/>
            <w:tcBorders>
              <w:tl2br w:val="nil"/>
              <w:tr2bl w:val="nil"/>
            </w:tcBorders>
            <w:shd w:val="clear" w:color="auto" w:fill="auto"/>
            <w:noWrap/>
            <w:vAlign w:val="center"/>
          </w:tcPr>
          <w:p w14:paraId="00E61152">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2.09</w:t>
            </w:r>
            <w:r>
              <w:rPr>
                <w:rFonts w:ascii="Times New Roman Regular" w:hAnsi="Times New Roman Regular" w:eastAsia="Calibri" w:cs="Times New Roman Regular"/>
                <w:kern w:val="0"/>
                <w:vertAlign w:val="superscript"/>
                <w:lang w:eastAsia="en-US"/>
              </w:rPr>
              <w:t>*</w:t>
            </w:r>
          </w:p>
        </w:tc>
        <w:tc>
          <w:tcPr>
            <w:tcW w:w="884" w:type="dxa"/>
            <w:tcBorders>
              <w:tl2br w:val="nil"/>
              <w:tr2bl w:val="nil"/>
            </w:tcBorders>
            <w:shd w:val="clear" w:color="auto" w:fill="auto"/>
            <w:noWrap/>
            <w:vAlign w:val="center"/>
          </w:tcPr>
          <w:p w14:paraId="5D4204DF">
            <w:pPr>
              <w:widowControl/>
              <w:rPr>
                <w:rFonts w:ascii="Times New Roman Regular" w:hAnsi="Times New Roman Regular" w:eastAsia="Calibri" w:cs="Times New Roman Regular"/>
                <w:kern w:val="0"/>
              </w:rPr>
            </w:pPr>
            <w:r>
              <w:rPr>
                <w:rFonts w:ascii="Times New Roman Regular" w:hAnsi="Times New Roman Regular" w:eastAsia="Calibri" w:cs="Times New Roman Regular"/>
                <w:kern w:val="0"/>
                <w:lang w:eastAsia="en-US"/>
              </w:rPr>
              <w:t>8.90</w:t>
            </w:r>
            <w:r>
              <w:rPr>
                <w:rFonts w:ascii="Times New Roman Regular" w:hAnsi="Times New Roman Regular" w:eastAsia="Calibri" w:cs="Times New Roman Regular"/>
                <w:kern w:val="0"/>
                <w:vertAlign w:val="superscript"/>
                <w:lang w:eastAsia="en-US"/>
              </w:rPr>
              <w:t>*</w:t>
            </w:r>
          </w:p>
        </w:tc>
        <w:tc>
          <w:tcPr>
            <w:tcW w:w="1030" w:type="dxa"/>
            <w:tcBorders>
              <w:tl2br w:val="nil"/>
              <w:tr2bl w:val="nil"/>
            </w:tcBorders>
            <w:shd w:val="clear" w:color="auto" w:fill="auto"/>
            <w:noWrap/>
            <w:vAlign w:val="center"/>
          </w:tcPr>
          <w:p w14:paraId="0D18912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-0.90</w:t>
            </w:r>
          </w:p>
        </w:tc>
        <w:tc>
          <w:tcPr>
            <w:tcW w:w="884" w:type="dxa"/>
            <w:tcBorders>
              <w:tl2br w:val="nil"/>
              <w:tr2bl w:val="nil"/>
            </w:tcBorders>
            <w:shd w:val="clear" w:color="auto" w:fill="auto"/>
            <w:noWrap/>
            <w:vAlign w:val="center"/>
          </w:tcPr>
          <w:p w14:paraId="5D36367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5.36</w:t>
            </w:r>
            <w:r>
              <w:rPr>
                <w:rFonts w:ascii="Times New Roman Regular" w:hAnsi="Times New Roman Regular" w:eastAsia="Calibri" w:cs="Times New Roman Regular"/>
                <w:kern w:val="0"/>
                <w:vertAlign w:val="superscript"/>
                <w:lang w:eastAsia="en-US"/>
              </w:rPr>
              <w:t>*</w:t>
            </w:r>
          </w:p>
        </w:tc>
        <w:tc>
          <w:tcPr>
            <w:tcW w:w="884" w:type="dxa"/>
            <w:tcBorders>
              <w:tl2br w:val="nil"/>
              <w:tr2bl w:val="nil"/>
            </w:tcBorders>
            <w:shd w:val="clear" w:color="auto" w:fill="auto"/>
            <w:noWrap/>
            <w:vAlign w:val="center"/>
          </w:tcPr>
          <w:p w14:paraId="1F6B795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-0.68</w:t>
            </w:r>
          </w:p>
        </w:tc>
      </w:tr>
      <w:tr w14:paraId="35A8814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3DD76074">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AH</w:t>
            </w:r>
          </w:p>
        </w:tc>
        <w:tc>
          <w:tcPr>
            <w:tcW w:w="1030" w:type="dxa"/>
            <w:tcBorders>
              <w:tl2br w:val="nil"/>
              <w:tr2bl w:val="nil"/>
            </w:tcBorders>
            <w:shd w:val="clear" w:color="auto" w:fill="auto"/>
            <w:noWrap/>
            <w:vAlign w:val="center"/>
          </w:tcPr>
          <w:p w14:paraId="492FD91E">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-1.59</w:t>
            </w:r>
          </w:p>
        </w:tc>
        <w:tc>
          <w:tcPr>
            <w:tcW w:w="1030" w:type="dxa"/>
            <w:tcBorders>
              <w:tl2br w:val="nil"/>
              <w:tr2bl w:val="nil"/>
            </w:tcBorders>
            <w:shd w:val="clear" w:color="auto" w:fill="auto"/>
            <w:noWrap/>
            <w:vAlign w:val="center"/>
          </w:tcPr>
          <w:p w14:paraId="0613E29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-1.44</w:t>
            </w:r>
          </w:p>
        </w:tc>
        <w:tc>
          <w:tcPr>
            <w:tcW w:w="884" w:type="dxa"/>
            <w:tcBorders>
              <w:tl2br w:val="nil"/>
              <w:tr2bl w:val="nil"/>
            </w:tcBorders>
            <w:shd w:val="clear" w:color="auto" w:fill="auto"/>
            <w:noWrap/>
            <w:vAlign w:val="center"/>
          </w:tcPr>
          <w:p w14:paraId="1528EBB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-0.94</w:t>
            </w:r>
          </w:p>
        </w:tc>
        <w:tc>
          <w:tcPr>
            <w:tcW w:w="1030" w:type="dxa"/>
            <w:tcBorders>
              <w:tl2br w:val="nil"/>
              <w:tr2bl w:val="nil"/>
            </w:tcBorders>
            <w:shd w:val="clear" w:color="auto" w:fill="auto"/>
            <w:noWrap/>
            <w:vAlign w:val="center"/>
          </w:tcPr>
          <w:p w14:paraId="7C84DB67">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4.08</w:t>
            </w:r>
            <w:r>
              <w:rPr>
                <w:rFonts w:ascii="Times New Roman Regular" w:hAnsi="Times New Roman Regular" w:eastAsia="Calibri" w:cs="Times New Roman Regular"/>
                <w:kern w:val="0"/>
                <w:vertAlign w:val="superscript"/>
                <w:lang w:eastAsia="en-US"/>
              </w:rPr>
              <w:t>*</w:t>
            </w:r>
          </w:p>
        </w:tc>
        <w:tc>
          <w:tcPr>
            <w:tcW w:w="1030" w:type="dxa"/>
            <w:tcBorders>
              <w:tl2br w:val="nil"/>
              <w:tr2bl w:val="nil"/>
            </w:tcBorders>
            <w:shd w:val="clear" w:color="auto" w:fill="auto"/>
            <w:noWrap/>
            <w:vAlign w:val="center"/>
          </w:tcPr>
          <w:p w14:paraId="010C492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-1.34</w:t>
            </w:r>
          </w:p>
        </w:tc>
        <w:tc>
          <w:tcPr>
            <w:tcW w:w="884" w:type="dxa"/>
            <w:tcBorders>
              <w:tl2br w:val="nil"/>
              <w:tr2bl w:val="nil"/>
            </w:tcBorders>
            <w:shd w:val="clear" w:color="auto" w:fill="auto"/>
            <w:noWrap/>
            <w:vAlign w:val="center"/>
          </w:tcPr>
          <w:p w14:paraId="40ED39CF">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-0.69</w:t>
            </w:r>
          </w:p>
        </w:tc>
        <w:tc>
          <w:tcPr>
            <w:tcW w:w="884" w:type="dxa"/>
            <w:tcBorders>
              <w:tl2br w:val="nil"/>
              <w:tr2bl w:val="nil"/>
            </w:tcBorders>
            <w:shd w:val="clear" w:color="auto" w:fill="auto"/>
            <w:noWrap/>
            <w:vAlign w:val="center"/>
          </w:tcPr>
          <w:p w14:paraId="0DBFDAE1">
            <w:pPr>
              <w:widowControl/>
              <w:rPr>
                <w:rFonts w:ascii="Times New Roman Regular" w:hAnsi="Times New Roman Regular" w:eastAsia="Calibri" w:cs="Times New Roman Regular"/>
                <w:kern w:val="0"/>
              </w:rPr>
            </w:pPr>
            <w:r>
              <w:rPr>
                <w:rFonts w:ascii="Times New Roman Regular" w:hAnsi="Times New Roman Regular" w:eastAsia="Calibri" w:cs="Times New Roman Regular"/>
                <w:kern w:val="0"/>
                <w:lang w:eastAsia="en-US"/>
              </w:rPr>
              <w:t>7.22</w:t>
            </w:r>
            <w:r>
              <w:rPr>
                <w:rFonts w:ascii="Times New Roman Regular" w:hAnsi="Times New Roman Regular" w:eastAsia="Calibri" w:cs="Times New Roman Regular"/>
                <w:kern w:val="0"/>
                <w:vertAlign w:val="superscript"/>
                <w:lang w:eastAsia="en-US"/>
              </w:rPr>
              <w:t>*</w:t>
            </w:r>
          </w:p>
        </w:tc>
        <w:tc>
          <w:tcPr>
            <w:tcW w:w="1030" w:type="dxa"/>
            <w:tcBorders>
              <w:tl2br w:val="nil"/>
              <w:tr2bl w:val="nil"/>
            </w:tcBorders>
            <w:shd w:val="clear" w:color="auto" w:fill="auto"/>
            <w:noWrap/>
            <w:vAlign w:val="center"/>
          </w:tcPr>
          <w:p w14:paraId="2A2FF6C4">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-1.06</w:t>
            </w:r>
          </w:p>
        </w:tc>
        <w:tc>
          <w:tcPr>
            <w:tcW w:w="884" w:type="dxa"/>
            <w:tcBorders>
              <w:tl2br w:val="nil"/>
              <w:tr2bl w:val="nil"/>
            </w:tcBorders>
            <w:shd w:val="clear" w:color="auto" w:fill="auto"/>
            <w:noWrap/>
            <w:vAlign w:val="center"/>
          </w:tcPr>
          <w:p w14:paraId="5B59346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-1.37</w:t>
            </w:r>
          </w:p>
        </w:tc>
        <w:tc>
          <w:tcPr>
            <w:tcW w:w="884" w:type="dxa"/>
            <w:tcBorders>
              <w:tl2br w:val="nil"/>
              <w:tr2bl w:val="nil"/>
            </w:tcBorders>
            <w:shd w:val="clear" w:color="auto" w:fill="auto"/>
            <w:noWrap/>
            <w:vAlign w:val="center"/>
          </w:tcPr>
          <w:p w14:paraId="5A32C75D">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-1.18</w:t>
            </w:r>
          </w:p>
        </w:tc>
      </w:tr>
      <w:tr w14:paraId="6CFAD4B4">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6E9CE97B">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DE</w:t>
            </w:r>
          </w:p>
        </w:tc>
        <w:tc>
          <w:tcPr>
            <w:tcW w:w="1030" w:type="dxa"/>
            <w:tcBorders>
              <w:tl2br w:val="nil"/>
              <w:tr2bl w:val="nil"/>
            </w:tcBorders>
            <w:shd w:val="clear" w:color="auto" w:fill="auto"/>
            <w:noWrap/>
            <w:vAlign w:val="center"/>
          </w:tcPr>
          <w:p w14:paraId="3CCDACDF">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-1.80</w:t>
            </w:r>
          </w:p>
        </w:tc>
        <w:tc>
          <w:tcPr>
            <w:tcW w:w="1030" w:type="dxa"/>
            <w:tcBorders>
              <w:tl2br w:val="nil"/>
              <w:tr2bl w:val="nil"/>
            </w:tcBorders>
            <w:shd w:val="clear" w:color="auto" w:fill="auto"/>
            <w:noWrap/>
            <w:vAlign w:val="center"/>
          </w:tcPr>
          <w:p w14:paraId="6C8CA69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-1.63</w:t>
            </w:r>
          </w:p>
        </w:tc>
        <w:tc>
          <w:tcPr>
            <w:tcW w:w="884" w:type="dxa"/>
            <w:tcBorders>
              <w:tl2br w:val="nil"/>
              <w:tr2bl w:val="nil"/>
            </w:tcBorders>
            <w:shd w:val="clear" w:color="auto" w:fill="auto"/>
            <w:noWrap/>
            <w:vAlign w:val="center"/>
          </w:tcPr>
          <w:p w14:paraId="3F6C44AA">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-1.88</w:t>
            </w:r>
          </w:p>
        </w:tc>
        <w:tc>
          <w:tcPr>
            <w:tcW w:w="1030" w:type="dxa"/>
            <w:tcBorders>
              <w:tl2br w:val="nil"/>
              <w:tr2bl w:val="nil"/>
            </w:tcBorders>
            <w:shd w:val="clear" w:color="auto" w:fill="auto"/>
            <w:noWrap/>
            <w:vAlign w:val="center"/>
          </w:tcPr>
          <w:p w14:paraId="767E712D">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-1.91</w:t>
            </w:r>
          </w:p>
        </w:tc>
        <w:tc>
          <w:tcPr>
            <w:tcW w:w="1030" w:type="dxa"/>
            <w:tcBorders>
              <w:tl2br w:val="nil"/>
              <w:tr2bl w:val="nil"/>
            </w:tcBorders>
            <w:shd w:val="clear" w:color="auto" w:fill="auto"/>
            <w:noWrap/>
            <w:vAlign w:val="center"/>
          </w:tcPr>
          <w:p w14:paraId="35BBBCC4">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-1.52</w:t>
            </w:r>
          </w:p>
        </w:tc>
        <w:tc>
          <w:tcPr>
            <w:tcW w:w="884" w:type="dxa"/>
            <w:tcBorders>
              <w:tl2br w:val="nil"/>
              <w:tr2bl w:val="nil"/>
            </w:tcBorders>
            <w:shd w:val="clear" w:color="auto" w:fill="auto"/>
            <w:noWrap/>
            <w:vAlign w:val="center"/>
          </w:tcPr>
          <w:p w14:paraId="2687E567">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1.96</w:t>
            </w:r>
          </w:p>
        </w:tc>
        <w:tc>
          <w:tcPr>
            <w:tcW w:w="884" w:type="dxa"/>
            <w:tcBorders>
              <w:tl2br w:val="nil"/>
              <w:tr2bl w:val="nil"/>
            </w:tcBorders>
            <w:shd w:val="clear" w:color="auto" w:fill="auto"/>
            <w:noWrap/>
            <w:vAlign w:val="center"/>
          </w:tcPr>
          <w:p w14:paraId="52AA0236">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-0.91</w:t>
            </w:r>
          </w:p>
        </w:tc>
        <w:tc>
          <w:tcPr>
            <w:tcW w:w="1030" w:type="dxa"/>
            <w:tcBorders>
              <w:tl2br w:val="nil"/>
              <w:tr2bl w:val="nil"/>
            </w:tcBorders>
            <w:shd w:val="clear" w:color="auto" w:fill="auto"/>
            <w:noWrap/>
            <w:vAlign w:val="center"/>
          </w:tcPr>
          <w:p w14:paraId="78D43699">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-0.27</w:t>
            </w:r>
          </w:p>
        </w:tc>
        <w:tc>
          <w:tcPr>
            <w:tcW w:w="884" w:type="dxa"/>
            <w:tcBorders>
              <w:tl2br w:val="nil"/>
              <w:tr2bl w:val="nil"/>
            </w:tcBorders>
            <w:shd w:val="clear" w:color="auto" w:fill="auto"/>
            <w:noWrap/>
            <w:vAlign w:val="center"/>
          </w:tcPr>
          <w:p w14:paraId="48EE6AD0">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8.99</w:t>
            </w:r>
            <w:r>
              <w:rPr>
                <w:rFonts w:ascii="Times New Roman Regular" w:hAnsi="Times New Roman Regular" w:eastAsia="Calibri" w:cs="Times New Roman Regular"/>
                <w:kern w:val="0"/>
                <w:vertAlign w:val="superscript"/>
                <w:lang w:eastAsia="en-US"/>
              </w:rPr>
              <w:t>*</w:t>
            </w:r>
          </w:p>
        </w:tc>
        <w:tc>
          <w:tcPr>
            <w:tcW w:w="884" w:type="dxa"/>
            <w:tcBorders>
              <w:tl2br w:val="nil"/>
              <w:tr2bl w:val="nil"/>
            </w:tcBorders>
            <w:shd w:val="clear" w:color="auto" w:fill="auto"/>
            <w:noWrap/>
            <w:vAlign w:val="center"/>
          </w:tcPr>
          <w:p w14:paraId="1D72355A">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0.37</w:t>
            </w:r>
          </w:p>
        </w:tc>
      </w:tr>
      <w:tr w14:paraId="232472E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1EB78E47">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ET</w:t>
            </w:r>
          </w:p>
        </w:tc>
        <w:tc>
          <w:tcPr>
            <w:tcW w:w="1030" w:type="dxa"/>
            <w:tcBorders>
              <w:tl2br w:val="nil"/>
              <w:tr2bl w:val="nil"/>
            </w:tcBorders>
            <w:shd w:val="clear" w:color="auto" w:fill="auto"/>
            <w:noWrap/>
            <w:vAlign w:val="center"/>
          </w:tcPr>
          <w:p w14:paraId="7491378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-1.42</w:t>
            </w:r>
          </w:p>
        </w:tc>
        <w:tc>
          <w:tcPr>
            <w:tcW w:w="1030" w:type="dxa"/>
            <w:tcBorders>
              <w:tl2br w:val="nil"/>
              <w:tr2bl w:val="nil"/>
            </w:tcBorders>
            <w:shd w:val="clear" w:color="auto" w:fill="auto"/>
            <w:noWrap/>
            <w:vAlign w:val="center"/>
          </w:tcPr>
          <w:p w14:paraId="7199639F">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-1.28</w:t>
            </w:r>
          </w:p>
        </w:tc>
        <w:tc>
          <w:tcPr>
            <w:tcW w:w="884" w:type="dxa"/>
            <w:tcBorders>
              <w:tl2br w:val="nil"/>
              <w:tr2bl w:val="nil"/>
            </w:tcBorders>
            <w:shd w:val="clear" w:color="auto" w:fill="auto"/>
            <w:noWrap/>
            <w:vAlign w:val="center"/>
          </w:tcPr>
          <w:p w14:paraId="00405A5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-0.67</w:t>
            </w:r>
          </w:p>
        </w:tc>
        <w:tc>
          <w:tcPr>
            <w:tcW w:w="1030" w:type="dxa"/>
            <w:tcBorders>
              <w:tl2br w:val="nil"/>
              <w:tr2bl w:val="nil"/>
            </w:tcBorders>
            <w:shd w:val="clear" w:color="auto" w:fill="auto"/>
            <w:noWrap/>
            <w:vAlign w:val="center"/>
          </w:tcPr>
          <w:p w14:paraId="77CF5A0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-1.51</w:t>
            </w:r>
          </w:p>
        </w:tc>
        <w:tc>
          <w:tcPr>
            <w:tcW w:w="1030" w:type="dxa"/>
            <w:tcBorders>
              <w:tl2br w:val="nil"/>
              <w:tr2bl w:val="nil"/>
            </w:tcBorders>
            <w:shd w:val="clear" w:color="auto" w:fill="auto"/>
            <w:noWrap/>
            <w:vAlign w:val="center"/>
          </w:tcPr>
          <w:p w14:paraId="333C4927">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-1.20</w:t>
            </w:r>
          </w:p>
        </w:tc>
        <w:tc>
          <w:tcPr>
            <w:tcW w:w="884" w:type="dxa"/>
            <w:tcBorders>
              <w:tl2br w:val="nil"/>
              <w:tr2bl w:val="nil"/>
            </w:tcBorders>
            <w:shd w:val="clear" w:color="auto" w:fill="auto"/>
            <w:noWrap/>
            <w:vAlign w:val="center"/>
          </w:tcPr>
          <w:p w14:paraId="0B52822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-0.62</w:t>
            </w:r>
          </w:p>
        </w:tc>
        <w:tc>
          <w:tcPr>
            <w:tcW w:w="884" w:type="dxa"/>
            <w:tcBorders>
              <w:tl2br w:val="nil"/>
              <w:tr2bl w:val="nil"/>
            </w:tcBorders>
            <w:shd w:val="clear" w:color="auto" w:fill="auto"/>
            <w:noWrap/>
            <w:vAlign w:val="center"/>
          </w:tcPr>
          <w:p w14:paraId="2E10E811">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-0.72</w:t>
            </w:r>
          </w:p>
        </w:tc>
        <w:tc>
          <w:tcPr>
            <w:tcW w:w="1030" w:type="dxa"/>
            <w:tcBorders>
              <w:tl2br w:val="nil"/>
              <w:tr2bl w:val="nil"/>
            </w:tcBorders>
            <w:shd w:val="clear" w:color="auto" w:fill="auto"/>
            <w:noWrap/>
            <w:vAlign w:val="center"/>
          </w:tcPr>
          <w:p w14:paraId="6D86F2D8">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-0.95</w:t>
            </w:r>
          </w:p>
        </w:tc>
        <w:tc>
          <w:tcPr>
            <w:tcW w:w="884" w:type="dxa"/>
            <w:tcBorders>
              <w:tl2br w:val="nil"/>
              <w:tr2bl w:val="nil"/>
            </w:tcBorders>
            <w:shd w:val="clear" w:color="auto" w:fill="auto"/>
            <w:noWrap/>
            <w:vAlign w:val="center"/>
          </w:tcPr>
          <w:p w14:paraId="1912DE9D">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9.13</w:t>
            </w:r>
            <w:r>
              <w:rPr>
                <w:rFonts w:ascii="Times New Roman Regular" w:hAnsi="Times New Roman Regular" w:eastAsia="Calibri" w:cs="Times New Roman Regular"/>
                <w:kern w:val="0"/>
                <w:vertAlign w:val="superscript"/>
                <w:lang w:eastAsia="en-US"/>
              </w:rPr>
              <w:t>*</w:t>
            </w:r>
          </w:p>
        </w:tc>
        <w:tc>
          <w:tcPr>
            <w:tcW w:w="884" w:type="dxa"/>
            <w:tcBorders>
              <w:tl2br w:val="nil"/>
              <w:tr2bl w:val="nil"/>
            </w:tcBorders>
            <w:shd w:val="clear" w:color="auto" w:fill="auto"/>
            <w:noWrap/>
            <w:vAlign w:val="center"/>
          </w:tcPr>
          <w:p w14:paraId="61B56481">
            <w:pPr>
              <w:widowControl/>
              <w:rPr>
                <w:rFonts w:ascii="Times New Roman Regular" w:hAnsi="Times New Roman Regular" w:eastAsia="Calibri" w:cs="Times New Roman Regular"/>
                <w:kern w:val="0"/>
                <w:lang w:eastAsia="en-US"/>
              </w:rPr>
            </w:pPr>
            <w:r>
              <w:rPr>
                <w:rFonts w:ascii="Times New Roman Regular" w:hAnsi="Times New Roman Regular" w:eastAsia="Calibri" w:cs="Times New Roman Regular"/>
                <w:kern w:val="0"/>
                <w:lang w:eastAsia="en-US"/>
              </w:rPr>
              <w:t>-1.05</w:t>
            </w:r>
          </w:p>
        </w:tc>
      </w:tr>
      <w:tr w14:paraId="673DF67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6F90EC0D">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SH</w:t>
            </w:r>
          </w:p>
        </w:tc>
        <w:tc>
          <w:tcPr>
            <w:tcW w:w="1030" w:type="dxa"/>
            <w:tcBorders>
              <w:tl2br w:val="nil"/>
              <w:tr2bl w:val="nil"/>
            </w:tcBorders>
            <w:shd w:val="clear" w:color="auto" w:fill="auto"/>
            <w:noWrap/>
            <w:vAlign w:val="center"/>
          </w:tcPr>
          <w:p w14:paraId="41BCF429">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-2.28</w:t>
            </w:r>
          </w:p>
        </w:tc>
        <w:tc>
          <w:tcPr>
            <w:tcW w:w="1030" w:type="dxa"/>
            <w:tcBorders>
              <w:tl2br w:val="nil"/>
              <w:tr2bl w:val="nil"/>
            </w:tcBorders>
            <w:shd w:val="clear" w:color="auto" w:fill="auto"/>
            <w:noWrap/>
            <w:vAlign w:val="center"/>
          </w:tcPr>
          <w:p w14:paraId="6BA3749A">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-2.07</w:t>
            </w:r>
          </w:p>
        </w:tc>
        <w:tc>
          <w:tcPr>
            <w:tcW w:w="884" w:type="dxa"/>
            <w:tcBorders>
              <w:tl2br w:val="nil"/>
              <w:tr2bl w:val="nil"/>
            </w:tcBorders>
            <w:shd w:val="clear" w:color="auto" w:fill="auto"/>
            <w:noWrap/>
            <w:vAlign w:val="center"/>
          </w:tcPr>
          <w:p w14:paraId="424FA410">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-2.39</w:t>
            </w:r>
          </w:p>
        </w:tc>
        <w:tc>
          <w:tcPr>
            <w:tcW w:w="1030" w:type="dxa"/>
            <w:tcBorders>
              <w:tl2br w:val="nil"/>
              <w:tr2bl w:val="nil"/>
            </w:tcBorders>
            <w:shd w:val="clear" w:color="auto" w:fill="auto"/>
            <w:noWrap/>
            <w:vAlign w:val="center"/>
          </w:tcPr>
          <w:p w14:paraId="546C8E90">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-2.43</w:t>
            </w:r>
          </w:p>
        </w:tc>
        <w:tc>
          <w:tcPr>
            <w:tcW w:w="1030" w:type="dxa"/>
            <w:tcBorders>
              <w:tl2br w:val="nil"/>
              <w:tr2bl w:val="nil"/>
            </w:tcBorders>
            <w:shd w:val="clear" w:color="auto" w:fill="auto"/>
            <w:noWrap/>
            <w:vAlign w:val="center"/>
          </w:tcPr>
          <w:p w14:paraId="7021DB73">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-1.93</w:t>
            </w:r>
          </w:p>
        </w:tc>
        <w:tc>
          <w:tcPr>
            <w:tcW w:w="884" w:type="dxa"/>
            <w:tcBorders>
              <w:tl2br w:val="nil"/>
              <w:tr2bl w:val="nil"/>
            </w:tcBorders>
            <w:shd w:val="clear" w:color="auto" w:fill="auto"/>
            <w:noWrap/>
            <w:vAlign w:val="center"/>
          </w:tcPr>
          <w:p w14:paraId="59EC4ED5">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-0.99</w:t>
            </w:r>
          </w:p>
        </w:tc>
        <w:tc>
          <w:tcPr>
            <w:tcW w:w="884" w:type="dxa"/>
            <w:tcBorders>
              <w:tl2br w:val="nil"/>
              <w:tr2bl w:val="nil"/>
            </w:tcBorders>
            <w:shd w:val="clear" w:color="auto" w:fill="auto"/>
            <w:noWrap/>
            <w:vAlign w:val="center"/>
          </w:tcPr>
          <w:p w14:paraId="71C110A2">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-1.15</w:t>
            </w:r>
          </w:p>
        </w:tc>
        <w:tc>
          <w:tcPr>
            <w:tcW w:w="1030" w:type="dxa"/>
            <w:tcBorders>
              <w:tl2br w:val="nil"/>
              <w:tr2bl w:val="nil"/>
            </w:tcBorders>
            <w:shd w:val="clear" w:color="auto" w:fill="auto"/>
            <w:noWrap/>
            <w:vAlign w:val="center"/>
          </w:tcPr>
          <w:p w14:paraId="5905BE4C">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12.67</w:t>
            </w:r>
            <w:r>
              <w:rPr>
                <w:rFonts w:ascii="Times New Roman Regular" w:hAnsi="Times New Roman Regular" w:eastAsia="Calibri" w:cs="Times New Roman Regular"/>
                <w:kern w:val="0"/>
                <w:vertAlign w:val="superscript"/>
                <w:lang w:eastAsia="en-US"/>
              </w:rPr>
              <w:t>*</w:t>
            </w:r>
          </w:p>
        </w:tc>
        <w:tc>
          <w:tcPr>
            <w:tcW w:w="884" w:type="dxa"/>
            <w:tcBorders>
              <w:tl2br w:val="nil"/>
              <w:tr2bl w:val="nil"/>
            </w:tcBorders>
            <w:shd w:val="clear" w:color="auto" w:fill="auto"/>
            <w:noWrap/>
            <w:vAlign w:val="center"/>
          </w:tcPr>
          <w:p w14:paraId="28D83530">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-1.97</w:t>
            </w:r>
          </w:p>
        </w:tc>
        <w:tc>
          <w:tcPr>
            <w:tcW w:w="884" w:type="dxa"/>
            <w:tcBorders>
              <w:tl2br w:val="nil"/>
              <w:tr2bl w:val="nil"/>
            </w:tcBorders>
            <w:shd w:val="clear" w:color="auto" w:fill="auto"/>
            <w:noWrap/>
            <w:vAlign w:val="center"/>
          </w:tcPr>
          <w:p w14:paraId="26B694E8">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5.85</w:t>
            </w:r>
            <w:r>
              <w:rPr>
                <w:rFonts w:ascii="Times New Roman Regular" w:hAnsi="Times New Roman Regular" w:eastAsia="Calibri" w:cs="Times New Roman Regular"/>
                <w:kern w:val="0"/>
                <w:vertAlign w:val="superscript"/>
                <w:lang w:eastAsia="en-US"/>
              </w:rPr>
              <w:t>*</w:t>
            </w:r>
          </w:p>
        </w:tc>
      </w:tr>
      <w:tr w14:paraId="41D682F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990" w:type="dxa"/>
            <w:tcBorders>
              <w:tl2br w:val="nil"/>
              <w:tr2bl w:val="nil"/>
            </w:tcBorders>
            <w:shd w:val="clear" w:color="auto" w:fill="auto"/>
            <w:noWrap/>
          </w:tcPr>
          <w:p w14:paraId="4C34312E">
            <w:pPr>
              <w:widowControl/>
              <w:textAlignment w:val="center"/>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IB</w:t>
            </w:r>
          </w:p>
        </w:tc>
        <w:tc>
          <w:tcPr>
            <w:tcW w:w="1030" w:type="dxa"/>
            <w:tcBorders>
              <w:tl2br w:val="nil"/>
              <w:tr2bl w:val="nil"/>
            </w:tcBorders>
            <w:shd w:val="clear" w:color="auto" w:fill="auto"/>
            <w:noWrap/>
            <w:vAlign w:val="center"/>
          </w:tcPr>
          <w:p w14:paraId="65AD2214">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5.28</w:t>
            </w:r>
            <w:r>
              <w:rPr>
                <w:rFonts w:ascii="Times New Roman Regular" w:hAnsi="Times New Roman Regular" w:eastAsia="Calibri" w:cs="Times New Roman Regular"/>
                <w:kern w:val="0"/>
                <w:vertAlign w:val="superscript"/>
                <w:lang w:eastAsia="en-US"/>
              </w:rPr>
              <w:t>*</w:t>
            </w:r>
          </w:p>
        </w:tc>
        <w:tc>
          <w:tcPr>
            <w:tcW w:w="1030" w:type="dxa"/>
            <w:tcBorders>
              <w:tl2br w:val="nil"/>
              <w:tr2bl w:val="nil"/>
            </w:tcBorders>
            <w:shd w:val="clear" w:color="auto" w:fill="auto"/>
            <w:noWrap/>
            <w:vAlign w:val="center"/>
          </w:tcPr>
          <w:p w14:paraId="625F76BA">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-2.45</w:t>
            </w:r>
          </w:p>
        </w:tc>
        <w:tc>
          <w:tcPr>
            <w:tcW w:w="884" w:type="dxa"/>
            <w:tcBorders>
              <w:tl2br w:val="nil"/>
              <w:tr2bl w:val="nil"/>
            </w:tcBorders>
            <w:shd w:val="clear" w:color="auto" w:fill="auto"/>
            <w:noWrap/>
            <w:vAlign w:val="center"/>
          </w:tcPr>
          <w:p w14:paraId="36A1DEB8">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1.25</w:t>
            </w:r>
          </w:p>
        </w:tc>
        <w:tc>
          <w:tcPr>
            <w:tcW w:w="1030" w:type="dxa"/>
            <w:tcBorders>
              <w:tl2br w:val="nil"/>
              <w:tr2bl w:val="nil"/>
            </w:tcBorders>
            <w:shd w:val="clear" w:color="auto" w:fill="auto"/>
            <w:noWrap/>
            <w:vAlign w:val="center"/>
          </w:tcPr>
          <w:p w14:paraId="4B70D072">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-1.98</w:t>
            </w:r>
          </w:p>
        </w:tc>
        <w:tc>
          <w:tcPr>
            <w:tcW w:w="1030" w:type="dxa"/>
            <w:tcBorders>
              <w:tl2br w:val="nil"/>
              <w:tr2bl w:val="nil"/>
            </w:tcBorders>
            <w:shd w:val="clear" w:color="auto" w:fill="auto"/>
            <w:noWrap/>
            <w:vAlign w:val="center"/>
          </w:tcPr>
          <w:p w14:paraId="4714415F">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-2.28</w:t>
            </w:r>
          </w:p>
        </w:tc>
        <w:tc>
          <w:tcPr>
            <w:tcW w:w="884" w:type="dxa"/>
            <w:tcBorders>
              <w:tl2br w:val="nil"/>
              <w:tr2bl w:val="nil"/>
            </w:tcBorders>
            <w:shd w:val="clear" w:color="auto" w:fill="auto"/>
            <w:noWrap/>
            <w:vAlign w:val="center"/>
          </w:tcPr>
          <w:p w14:paraId="67563357">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-1.18</w:t>
            </w:r>
          </w:p>
        </w:tc>
        <w:tc>
          <w:tcPr>
            <w:tcW w:w="884" w:type="dxa"/>
            <w:tcBorders>
              <w:tl2br w:val="nil"/>
              <w:tr2bl w:val="nil"/>
            </w:tcBorders>
            <w:shd w:val="clear" w:color="auto" w:fill="auto"/>
            <w:noWrap/>
            <w:vAlign w:val="center"/>
          </w:tcPr>
          <w:p w14:paraId="7AE1CFF4">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-1.37</w:t>
            </w:r>
          </w:p>
        </w:tc>
        <w:tc>
          <w:tcPr>
            <w:tcW w:w="1030" w:type="dxa"/>
            <w:tcBorders>
              <w:tl2br w:val="nil"/>
              <w:tr2bl w:val="nil"/>
            </w:tcBorders>
            <w:shd w:val="clear" w:color="auto" w:fill="auto"/>
            <w:noWrap/>
            <w:vAlign w:val="center"/>
          </w:tcPr>
          <w:p w14:paraId="17FA0002">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5.31</w:t>
            </w:r>
          </w:p>
        </w:tc>
        <w:tc>
          <w:tcPr>
            <w:tcW w:w="884" w:type="dxa"/>
            <w:tcBorders>
              <w:tl2br w:val="nil"/>
              <w:tr2bl w:val="nil"/>
            </w:tcBorders>
            <w:shd w:val="clear" w:color="auto" w:fill="auto"/>
            <w:noWrap/>
            <w:vAlign w:val="center"/>
          </w:tcPr>
          <w:p w14:paraId="793082EF">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-1.28</w:t>
            </w:r>
          </w:p>
        </w:tc>
        <w:tc>
          <w:tcPr>
            <w:tcW w:w="884" w:type="dxa"/>
            <w:tcBorders>
              <w:tl2br w:val="nil"/>
              <w:tr2bl w:val="nil"/>
            </w:tcBorders>
            <w:shd w:val="clear" w:color="auto" w:fill="auto"/>
            <w:noWrap/>
            <w:vAlign w:val="center"/>
          </w:tcPr>
          <w:p w14:paraId="0F327C4B">
            <w:pPr>
              <w:widowControl/>
              <w:rPr>
                <w:rFonts w:ascii="Times New Roman Regular" w:hAnsi="Times New Roman Regular" w:eastAsia="宋体" w:cs="Times New Roman Regular"/>
                <w:color w:val="000000"/>
                <w:kern w:val="0"/>
                <w:szCs w:val="24"/>
                <w:lang w:eastAsia="en-US"/>
              </w:rPr>
            </w:pPr>
            <w:r>
              <w:rPr>
                <w:rFonts w:ascii="Times New Roman Regular" w:hAnsi="Times New Roman Regular" w:eastAsia="Calibri" w:cs="Times New Roman Regular"/>
                <w:kern w:val="0"/>
                <w:lang w:eastAsia="en-US"/>
              </w:rPr>
              <w:t>-2.00</w:t>
            </w:r>
          </w:p>
        </w:tc>
      </w:tr>
    </w:tbl>
    <w:p w14:paraId="237F6272">
      <w:pPr>
        <w:rPr>
          <w:rFonts w:ascii="Times New Roman" w:hAnsi="Times New Roman" w:eastAsia="PMingLiU" w:cs="Times New Roman"/>
          <w:vertAlign w:val="superscript"/>
          <w:lang w:eastAsia="en-GB"/>
        </w:rPr>
      </w:pPr>
      <w:r>
        <w:rPr>
          <w:rFonts w:ascii="Times New Roman" w:hAnsi="Times New Roman" w:eastAsia="Calibri" w:cs="Times New Roman"/>
          <w:kern w:val="0"/>
          <w:vertAlign w:val="superscript"/>
          <w:lang w:eastAsia="en-US"/>
        </w:rPr>
        <w:t>*</w:t>
      </w:r>
      <w:r>
        <w:rPr>
          <w:rFonts w:ascii="Times New Roman Bold" w:hAnsi="Times New Roman Bold" w:eastAsia="Calibri" w:cs="Times New Roman Bold"/>
          <w:b/>
          <w:bCs/>
          <w:kern w:val="0"/>
          <w:vertAlign w:val="superscript"/>
          <w:lang w:eastAsia="en-US"/>
        </w:rPr>
        <w:t xml:space="preserve"> </w:t>
      </w:r>
      <w:r>
        <w:rPr>
          <w:rFonts w:ascii="Times New Roman Italic" w:hAnsi="Times New Roman Italic" w:eastAsia="Calibri" w:cs="Times New Roman Italic"/>
          <w:i/>
          <w:iCs/>
          <w:kern w:val="0"/>
          <w:vertAlign w:val="superscript"/>
          <w:lang w:eastAsia="en-US"/>
        </w:rPr>
        <w:t xml:space="preserve">Z </w:t>
      </w:r>
      <w:r>
        <w:rPr>
          <w:rFonts w:ascii="Times New Roman" w:hAnsi="Times New Roman" w:eastAsia="Calibri" w:cs="Times New Roman"/>
          <w:kern w:val="0"/>
          <w:vertAlign w:val="superscript"/>
          <w:lang w:eastAsia="en-US"/>
        </w:rPr>
        <w:t>&gt; 1.96</w:t>
      </w:r>
    </w:p>
    <w:p w14:paraId="6D20336F">
      <w:pPr>
        <w:pStyle w:val="20"/>
        <w:adjustRightInd w:val="0"/>
        <w:snapToGrid w:val="0"/>
        <w:spacing w:line="360" w:lineRule="auto"/>
        <w:ind w:left="0" w:leftChars="0"/>
        <w:jc w:val="both"/>
        <w:rPr>
          <w:rFonts w:ascii="Times New Roman" w:hAnsi="Times New Roman" w:cs="Times New Roman"/>
        </w:rPr>
      </w:pPr>
    </w:p>
    <w:p w14:paraId="74574C79">
      <w:pPr>
        <w:spacing w:line="360" w:lineRule="auto"/>
        <w:rPr>
          <w:rFonts w:ascii="Times New Roman" w:hAnsi="Times New Roman" w:eastAsia="PMingLiU" w:cs="Times New Roman"/>
          <w:lang w:eastAsia="en-GB"/>
        </w:rPr>
      </w:pPr>
      <w:r>
        <w:rPr>
          <w:rFonts w:ascii="Times New Roman" w:hAnsi="Times New Roman" w:eastAsia="PMingLiU" w:cs="Times New Roman"/>
          <w:lang w:eastAsia="en-GB"/>
        </w:rPr>
        <w:t xml:space="preserve">Table </w:t>
      </w:r>
      <w:r>
        <w:rPr>
          <w:rFonts w:hint="eastAsia" w:ascii="Times New Roman" w:hAnsi="Times New Roman" w:eastAsia="PMingLiU" w:cs="Times New Roman"/>
        </w:rPr>
        <w:t>5</w:t>
      </w:r>
      <w:r>
        <w:rPr>
          <w:rFonts w:ascii="Times New Roman" w:hAnsi="Times New Roman" w:eastAsia="PMingLiU" w:cs="Times New Roman"/>
          <w:lang w:eastAsia="en-GB"/>
        </w:rPr>
        <w:t>. The adjusted residuals tables for the control group.</w:t>
      </w:r>
    </w:p>
    <w:tbl>
      <w:tblPr>
        <w:tblStyle w:val="9"/>
        <w:tblW w:w="10560" w:type="dxa"/>
        <w:jc w:val="center"/>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48"/>
        <w:gridCol w:w="935"/>
        <w:gridCol w:w="1089"/>
        <w:gridCol w:w="936"/>
        <w:gridCol w:w="936"/>
        <w:gridCol w:w="936"/>
        <w:gridCol w:w="936"/>
        <w:gridCol w:w="936"/>
        <w:gridCol w:w="936"/>
        <w:gridCol w:w="936"/>
        <w:gridCol w:w="936"/>
      </w:tblGrid>
      <w:tr w14:paraId="2C27FA8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bottom w:val="single" w:color="000000" w:sz="4" w:space="0"/>
            </w:tcBorders>
            <w:shd w:val="clear" w:color="auto" w:fill="auto"/>
            <w:noWrap/>
          </w:tcPr>
          <w:p w14:paraId="77BD6CE7">
            <w:pPr>
              <w:widowControl/>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Given</w:t>
            </w:r>
          </w:p>
        </w:tc>
        <w:tc>
          <w:tcPr>
            <w:tcW w:w="567" w:type="dxa"/>
            <w:tcBorders>
              <w:bottom w:val="single" w:color="000000" w:sz="4" w:space="0"/>
            </w:tcBorders>
            <w:shd w:val="clear" w:color="auto" w:fill="auto"/>
            <w:noWrap/>
          </w:tcPr>
          <w:p w14:paraId="1C848078">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LT</w:t>
            </w:r>
          </w:p>
        </w:tc>
        <w:tc>
          <w:tcPr>
            <w:tcW w:w="567" w:type="dxa"/>
            <w:tcBorders>
              <w:bottom w:val="single" w:color="000000" w:sz="4" w:space="0"/>
            </w:tcBorders>
            <w:shd w:val="clear" w:color="auto" w:fill="auto"/>
            <w:noWrap/>
          </w:tcPr>
          <w:p w14:paraId="4ED2D2ED">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IT</w:t>
            </w:r>
          </w:p>
        </w:tc>
        <w:tc>
          <w:tcPr>
            <w:tcW w:w="567" w:type="dxa"/>
            <w:tcBorders>
              <w:bottom w:val="single" w:color="000000" w:sz="4" w:space="0"/>
            </w:tcBorders>
            <w:shd w:val="clear" w:color="auto" w:fill="auto"/>
            <w:noWrap/>
          </w:tcPr>
          <w:p w14:paraId="72625A43">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DP</w:t>
            </w:r>
          </w:p>
        </w:tc>
        <w:tc>
          <w:tcPr>
            <w:tcW w:w="567" w:type="dxa"/>
            <w:tcBorders>
              <w:bottom w:val="single" w:color="000000" w:sz="4" w:space="0"/>
            </w:tcBorders>
            <w:shd w:val="clear" w:color="auto" w:fill="auto"/>
            <w:noWrap/>
          </w:tcPr>
          <w:p w14:paraId="28FEE7FE">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WP</w:t>
            </w:r>
          </w:p>
        </w:tc>
        <w:tc>
          <w:tcPr>
            <w:tcW w:w="567" w:type="dxa"/>
            <w:tcBorders>
              <w:bottom w:val="single" w:color="000000" w:sz="4" w:space="0"/>
            </w:tcBorders>
            <w:shd w:val="clear" w:color="auto" w:fill="auto"/>
            <w:noWrap/>
          </w:tcPr>
          <w:p w14:paraId="5999E680">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EP</w:t>
            </w:r>
          </w:p>
        </w:tc>
        <w:tc>
          <w:tcPr>
            <w:tcW w:w="567" w:type="dxa"/>
            <w:tcBorders>
              <w:bottom w:val="single" w:color="000000" w:sz="4" w:space="0"/>
            </w:tcBorders>
            <w:shd w:val="clear" w:color="auto" w:fill="auto"/>
            <w:noWrap/>
          </w:tcPr>
          <w:p w14:paraId="0033997B">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AH</w:t>
            </w:r>
          </w:p>
        </w:tc>
        <w:tc>
          <w:tcPr>
            <w:tcW w:w="567" w:type="dxa"/>
            <w:tcBorders>
              <w:bottom w:val="single" w:color="000000" w:sz="4" w:space="0"/>
            </w:tcBorders>
            <w:shd w:val="clear" w:color="auto" w:fill="auto"/>
            <w:noWrap/>
          </w:tcPr>
          <w:p w14:paraId="44CA04F0">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DE</w:t>
            </w:r>
          </w:p>
        </w:tc>
        <w:tc>
          <w:tcPr>
            <w:tcW w:w="567" w:type="dxa"/>
            <w:tcBorders>
              <w:bottom w:val="single" w:color="000000" w:sz="4" w:space="0"/>
            </w:tcBorders>
            <w:shd w:val="clear" w:color="auto" w:fill="auto"/>
            <w:noWrap/>
          </w:tcPr>
          <w:p w14:paraId="3C886BE2">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ET</w:t>
            </w:r>
          </w:p>
        </w:tc>
        <w:tc>
          <w:tcPr>
            <w:tcW w:w="567" w:type="dxa"/>
            <w:tcBorders>
              <w:bottom w:val="single" w:color="000000" w:sz="4" w:space="0"/>
            </w:tcBorders>
            <w:shd w:val="clear" w:color="auto" w:fill="auto"/>
            <w:noWrap/>
          </w:tcPr>
          <w:p w14:paraId="2E50E162">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SH</w:t>
            </w:r>
          </w:p>
        </w:tc>
        <w:tc>
          <w:tcPr>
            <w:tcW w:w="567" w:type="dxa"/>
            <w:tcBorders>
              <w:bottom w:val="single" w:color="000000" w:sz="4" w:space="0"/>
            </w:tcBorders>
            <w:shd w:val="clear" w:color="auto" w:fill="auto"/>
            <w:noWrap/>
          </w:tcPr>
          <w:p w14:paraId="66DBCB6C">
            <w:pPr>
              <w:widowControl/>
              <w:textAlignment w:val="center"/>
              <w:rPr>
                <w:rFonts w:ascii="Times New Roman Regular" w:hAnsi="Times New Roman Regular" w:eastAsia="宋体" w:cs="Times New Roman Regular"/>
                <w:color w:val="000000"/>
                <w:kern w:val="0"/>
                <w:szCs w:val="24"/>
                <w:lang w:eastAsia="en-US"/>
              </w:rPr>
            </w:pPr>
            <w:r>
              <w:rPr>
                <w:rFonts w:hint="eastAsia" w:ascii="Times New Roman" w:hAnsi="Times New Roman" w:eastAsia="Calibri" w:cs="Times New Roman"/>
                <w:kern w:val="0"/>
                <w:lang w:eastAsia="en-US"/>
              </w:rPr>
              <w:t>IB</w:t>
            </w:r>
          </w:p>
        </w:tc>
      </w:tr>
      <w:tr w14:paraId="7CC514B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op w:val="single" w:color="000000" w:sz="4" w:space="0"/>
              <w:tl2br w:val="nil"/>
              <w:tr2bl w:val="nil"/>
            </w:tcBorders>
            <w:shd w:val="clear" w:color="auto" w:fill="auto"/>
            <w:noWrap/>
          </w:tcPr>
          <w:p w14:paraId="3E575B4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LT</w:t>
            </w:r>
          </w:p>
        </w:tc>
        <w:tc>
          <w:tcPr>
            <w:tcW w:w="567" w:type="dxa"/>
            <w:tcBorders>
              <w:top w:val="single" w:color="000000" w:sz="4" w:space="0"/>
              <w:tl2br w:val="nil"/>
              <w:tr2bl w:val="nil"/>
            </w:tcBorders>
            <w:shd w:val="clear" w:color="auto" w:fill="auto"/>
            <w:noWrap/>
          </w:tcPr>
          <w:p w14:paraId="11FAAE6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op w:val="single" w:color="000000" w:sz="4" w:space="0"/>
              <w:tl2br w:val="nil"/>
              <w:tr2bl w:val="nil"/>
            </w:tcBorders>
            <w:shd w:val="clear" w:color="auto" w:fill="auto"/>
            <w:noWrap/>
          </w:tcPr>
          <w:p w14:paraId="26B1DBED">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11.58</w:t>
            </w:r>
            <w:r>
              <w:rPr>
                <w:rFonts w:ascii="Times New Roman" w:hAnsi="Times New Roman" w:eastAsia="Calibri" w:cs="Times New Roman"/>
                <w:kern w:val="0"/>
                <w:vertAlign w:val="superscript"/>
                <w:lang w:eastAsia="en-US"/>
              </w:rPr>
              <w:t>*</w:t>
            </w:r>
          </w:p>
        </w:tc>
        <w:tc>
          <w:tcPr>
            <w:tcW w:w="567" w:type="dxa"/>
            <w:tcBorders>
              <w:top w:val="single" w:color="000000" w:sz="4" w:space="0"/>
              <w:tl2br w:val="nil"/>
              <w:tr2bl w:val="nil"/>
            </w:tcBorders>
            <w:shd w:val="clear" w:color="auto" w:fill="auto"/>
            <w:noWrap/>
          </w:tcPr>
          <w:p w14:paraId="39FCB47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-0.89</w:t>
            </w:r>
          </w:p>
        </w:tc>
        <w:tc>
          <w:tcPr>
            <w:tcW w:w="567" w:type="dxa"/>
            <w:tcBorders>
              <w:top w:val="single" w:color="000000" w:sz="4" w:space="0"/>
              <w:tl2br w:val="nil"/>
              <w:tr2bl w:val="nil"/>
            </w:tcBorders>
            <w:shd w:val="clear" w:color="auto" w:fill="auto"/>
            <w:noWrap/>
          </w:tcPr>
          <w:p w14:paraId="5F38EDC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2.33</w:t>
            </w:r>
            <w:r>
              <w:rPr>
                <w:rFonts w:ascii="Times New Roman" w:hAnsi="Times New Roman" w:eastAsia="Calibri" w:cs="Times New Roman"/>
                <w:kern w:val="0"/>
                <w:vertAlign w:val="superscript"/>
                <w:lang w:eastAsia="en-US"/>
              </w:rPr>
              <w:t>*</w:t>
            </w:r>
          </w:p>
        </w:tc>
        <w:tc>
          <w:tcPr>
            <w:tcW w:w="567" w:type="dxa"/>
            <w:tcBorders>
              <w:top w:val="single" w:color="000000" w:sz="4" w:space="0"/>
              <w:tl2br w:val="nil"/>
              <w:tr2bl w:val="nil"/>
            </w:tcBorders>
            <w:shd w:val="clear" w:color="auto" w:fill="auto"/>
            <w:noWrap/>
          </w:tcPr>
          <w:p w14:paraId="1408FDAD">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-4.09</w:t>
            </w:r>
          </w:p>
        </w:tc>
        <w:tc>
          <w:tcPr>
            <w:tcW w:w="567" w:type="dxa"/>
            <w:tcBorders>
              <w:top w:val="single" w:color="000000" w:sz="4" w:space="0"/>
              <w:tl2br w:val="nil"/>
              <w:tr2bl w:val="nil"/>
            </w:tcBorders>
            <w:shd w:val="clear" w:color="auto" w:fill="auto"/>
            <w:noWrap/>
          </w:tcPr>
          <w:p w14:paraId="57898B83">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-3.29</w:t>
            </w:r>
          </w:p>
        </w:tc>
        <w:tc>
          <w:tcPr>
            <w:tcW w:w="567" w:type="dxa"/>
            <w:tcBorders>
              <w:top w:val="single" w:color="000000" w:sz="4" w:space="0"/>
              <w:tl2br w:val="nil"/>
              <w:tr2bl w:val="nil"/>
            </w:tcBorders>
            <w:shd w:val="clear" w:color="auto" w:fill="auto"/>
            <w:noWrap/>
          </w:tcPr>
          <w:p w14:paraId="6551935B">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-3.45</w:t>
            </w:r>
          </w:p>
        </w:tc>
        <w:tc>
          <w:tcPr>
            <w:tcW w:w="567" w:type="dxa"/>
            <w:tcBorders>
              <w:top w:val="single" w:color="000000" w:sz="4" w:space="0"/>
              <w:tl2br w:val="nil"/>
              <w:tr2bl w:val="nil"/>
            </w:tcBorders>
            <w:shd w:val="clear" w:color="auto" w:fill="auto"/>
            <w:noWrap/>
          </w:tcPr>
          <w:p w14:paraId="0AD87F33">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-2.99</w:t>
            </w:r>
          </w:p>
        </w:tc>
        <w:tc>
          <w:tcPr>
            <w:tcW w:w="567" w:type="dxa"/>
            <w:tcBorders>
              <w:top w:val="single" w:color="000000" w:sz="4" w:space="0"/>
              <w:tl2br w:val="nil"/>
              <w:tr2bl w:val="nil"/>
            </w:tcBorders>
            <w:shd w:val="clear" w:color="auto" w:fill="auto"/>
            <w:noWrap/>
          </w:tcPr>
          <w:p w14:paraId="595ED7B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-2.64</w:t>
            </w:r>
          </w:p>
        </w:tc>
        <w:tc>
          <w:tcPr>
            <w:tcW w:w="567" w:type="dxa"/>
            <w:tcBorders>
              <w:top w:val="single" w:color="000000" w:sz="4" w:space="0"/>
              <w:tl2br w:val="nil"/>
              <w:tr2bl w:val="nil"/>
            </w:tcBorders>
            <w:shd w:val="clear" w:color="auto" w:fill="auto"/>
            <w:noWrap/>
          </w:tcPr>
          <w:p w14:paraId="6113E6C2">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0.02</w:t>
            </w:r>
          </w:p>
        </w:tc>
      </w:tr>
      <w:tr w14:paraId="6F380D4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5091B505">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IT</w:t>
            </w:r>
          </w:p>
        </w:tc>
        <w:tc>
          <w:tcPr>
            <w:tcW w:w="567" w:type="dxa"/>
            <w:tcBorders>
              <w:tl2br w:val="nil"/>
              <w:tr2bl w:val="nil"/>
            </w:tcBorders>
            <w:shd w:val="clear" w:color="auto" w:fill="auto"/>
            <w:noWrap/>
          </w:tcPr>
          <w:p w14:paraId="34A45F4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7.64</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34B1C96A">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76B3EE38">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-3.09</w:t>
            </w:r>
          </w:p>
        </w:tc>
        <w:tc>
          <w:tcPr>
            <w:tcW w:w="567" w:type="dxa"/>
            <w:tcBorders>
              <w:tl2br w:val="nil"/>
              <w:tr2bl w:val="nil"/>
            </w:tcBorders>
            <w:shd w:val="clear" w:color="auto" w:fill="auto"/>
            <w:noWrap/>
          </w:tcPr>
          <w:p w14:paraId="0334B1E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0.03</w:t>
            </w:r>
          </w:p>
        </w:tc>
        <w:tc>
          <w:tcPr>
            <w:tcW w:w="567" w:type="dxa"/>
            <w:tcBorders>
              <w:tl2br w:val="nil"/>
              <w:tr2bl w:val="nil"/>
            </w:tcBorders>
            <w:shd w:val="clear" w:color="auto" w:fill="auto"/>
            <w:noWrap/>
          </w:tcPr>
          <w:p w14:paraId="202D0380">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-2.85</w:t>
            </w:r>
          </w:p>
        </w:tc>
        <w:tc>
          <w:tcPr>
            <w:tcW w:w="567" w:type="dxa"/>
            <w:tcBorders>
              <w:tl2br w:val="nil"/>
              <w:tr2bl w:val="nil"/>
            </w:tcBorders>
            <w:shd w:val="clear" w:color="auto" w:fill="auto"/>
            <w:noWrap/>
          </w:tcPr>
          <w:p w14:paraId="3C1DB38A">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-2.29</w:t>
            </w:r>
          </w:p>
        </w:tc>
        <w:tc>
          <w:tcPr>
            <w:tcW w:w="567" w:type="dxa"/>
            <w:tcBorders>
              <w:tl2br w:val="nil"/>
              <w:tr2bl w:val="nil"/>
            </w:tcBorders>
            <w:shd w:val="clear" w:color="auto" w:fill="auto"/>
            <w:noWrap/>
          </w:tcPr>
          <w:p w14:paraId="5C8A1590">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-2.40</w:t>
            </w:r>
          </w:p>
        </w:tc>
        <w:tc>
          <w:tcPr>
            <w:tcW w:w="567" w:type="dxa"/>
            <w:tcBorders>
              <w:tl2br w:val="nil"/>
              <w:tr2bl w:val="nil"/>
            </w:tcBorders>
            <w:shd w:val="clear" w:color="auto" w:fill="auto"/>
            <w:noWrap/>
          </w:tcPr>
          <w:p w14:paraId="2FADE77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-2.08</w:t>
            </w:r>
          </w:p>
        </w:tc>
        <w:tc>
          <w:tcPr>
            <w:tcW w:w="567" w:type="dxa"/>
            <w:tcBorders>
              <w:tl2br w:val="nil"/>
              <w:tr2bl w:val="nil"/>
            </w:tcBorders>
            <w:shd w:val="clear" w:color="auto" w:fill="auto"/>
            <w:noWrap/>
          </w:tcPr>
          <w:p w14:paraId="4621B7D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-1.84</w:t>
            </w:r>
          </w:p>
        </w:tc>
        <w:tc>
          <w:tcPr>
            <w:tcW w:w="567" w:type="dxa"/>
            <w:tcBorders>
              <w:tl2br w:val="nil"/>
              <w:tr2bl w:val="nil"/>
            </w:tcBorders>
            <w:shd w:val="clear" w:color="auto" w:fill="auto"/>
            <w:noWrap/>
          </w:tcPr>
          <w:p w14:paraId="14EBBEF4">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3.60</w:t>
            </w:r>
            <w:r>
              <w:rPr>
                <w:rFonts w:ascii="Times New Roman" w:hAnsi="Times New Roman" w:eastAsia="Calibri" w:cs="Times New Roman"/>
                <w:kern w:val="0"/>
                <w:vertAlign w:val="superscript"/>
                <w:lang w:eastAsia="en-US"/>
              </w:rPr>
              <w:t>*</w:t>
            </w:r>
          </w:p>
        </w:tc>
      </w:tr>
      <w:tr w14:paraId="53A4BDE6">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16525289">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DP</w:t>
            </w:r>
          </w:p>
        </w:tc>
        <w:tc>
          <w:tcPr>
            <w:tcW w:w="567" w:type="dxa"/>
            <w:tcBorders>
              <w:tl2br w:val="nil"/>
              <w:tr2bl w:val="nil"/>
            </w:tcBorders>
            <w:shd w:val="clear" w:color="auto" w:fill="auto"/>
            <w:noWrap/>
          </w:tcPr>
          <w:p w14:paraId="1D593C14">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-3.21</w:t>
            </w:r>
          </w:p>
        </w:tc>
        <w:tc>
          <w:tcPr>
            <w:tcW w:w="567" w:type="dxa"/>
            <w:tcBorders>
              <w:tl2br w:val="nil"/>
              <w:tr2bl w:val="nil"/>
            </w:tcBorders>
            <w:shd w:val="clear" w:color="auto" w:fill="auto"/>
            <w:noWrap/>
          </w:tcPr>
          <w:p w14:paraId="2BE90732">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-3.09</w:t>
            </w:r>
          </w:p>
        </w:tc>
        <w:tc>
          <w:tcPr>
            <w:tcW w:w="567" w:type="dxa"/>
            <w:tcBorders>
              <w:tl2br w:val="nil"/>
              <w:tr2bl w:val="nil"/>
            </w:tcBorders>
            <w:shd w:val="clear" w:color="auto" w:fill="auto"/>
            <w:noWrap/>
          </w:tcPr>
          <w:p w14:paraId="39AD0E58">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614923ED">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5.16</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7140C21C">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8.53</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19B13E28">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-2.32</w:t>
            </w:r>
          </w:p>
        </w:tc>
        <w:tc>
          <w:tcPr>
            <w:tcW w:w="567" w:type="dxa"/>
            <w:tcBorders>
              <w:tl2br w:val="nil"/>
              <w:tr2bl w:val="nil"/>
            </w:tcBorders>
            <w:shd w:val="clear" w:color="auto" w:fill="auto"/>
            <w:noWrap/>
          </w:tcPr>
          <w:p w14:paraId="33AA81B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-0.40</w:t>
            </w:r>
          </w:p>
        </w:tc>
        <w:tc>
          <w:tcPr>
            <w:tcW w:w="567" w:type="dxa"/>
            <w:tcBorders>
              <w:tl2br w:val="nil"/>
              <w:tr2bl w:val="nil"/>
            </w:tcBorders>
            <w:shd w:val="clear" w:color="auto" w:fill="auto"/>
            <w:noWrap/>
          </w:tcPr>
          <w:p w14:paraId="50A83D75">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-2.10</w:t>
            </w:r>
          </w:p>
        </w:tc>
        <w:tc>
          <w:tcPr>
            <w:tcW w:w="567" w:type="dxa"/>
            <w:tcBorders>
              <w:tl2br w:val="nil"/>
              <w:tr2bl w:val="nil"/>
            </w:tcBorders>
            <w:shd w:val="clear" w:color="auto" w:fill="auto"/>
            <w:noWrap/>
          </w:tcPr>
          <w:p w14:paraId="3FE141B9">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1.99</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2CC580F3">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-3.87</w:t>
            </w:r>
          </w:p>
        </w:tc>
      </w:tr>
      <w:tr w14:paraId="5F643C1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2B8825A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WP</w:t>
            </w:r>
          </w:p>
        </w:tc>
        <w:tc>
          <w:tcPr>
            <w:tcW w:w="567" w:type="dxa"/>
            <w:tcBorders>
              <w:tl2br w:val="nil"/>
              <w:tr2bl w:val="nil"/>
            </w:tcBorders>
            <w:shd w:val="clear" w:color="auto" w:fill="auto"/>
            <w:noWrap/>
          </w:tcPr>
          <w:p w14:paraId="0561394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-3.32</w:t>
            </w:r>
          </w:p>
        </w:tc>
        <w:tc>
          <w:tcPr>
            <w:tcW w:w="567" w:type="dxa"/>
            <w:tcBorders>
              <w:tl2br w:val="nil"/>
              <w:tr2bl w:val="nil"/>
            </w:tcBorders>
            <w:shd w:val="clear" w:color="auto" w:fill="auto"/>
            <w:noWrap/>
          </w:tcPr>
          <w:p w14:paraId="1E7E678A">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-3.20</w:t>
            </w:r>
          </w:p>
        </w:tc>
        <w:tc>
          <w:tcPr>
            <w:tcW w:w="567" w:type="dxa"/>
            <w:tcBorders>
              <w:tl2br w:val="nil"/>
              <w:tr2bl w:val="nil"/>
            </w:tcBorders>
            <w:shd w:val="clear" w:color="auto" w:fill="auto"/>
            <w:noWrap/>
          </w:tcPr>
          <w:p w14:paraId="7B1122B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7.96</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7A314806">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58757A54">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3.01</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5139F447">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2.74</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3616D18B">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-2.51</w:t>
            </w:r>
          </w:p>
        </w:tc>
        <w:tc>
          <w:tcPr>
            <w:tcW w:w="567" w:type="dxa"/>
            <w:tcBorders>
              <w:tl2br w:val="nil"/>
              <w:tr2bl w:val="nil"/>
            </w:tcBorders>
            <w:shd w:val="clear" w:color="auto" w:fill="auto"/>
            <w:noWrap/>
          </w:tcPr>
          <w:p w14:paraId="77A5CA25">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-2.17</w:t>
            </w:r>
          </w:p>
        </w:tc>
        <w:tc>
          <w:tcPr>
            <w:tcW w:w="567" w:type="dxa"/>
            <w:tcBorders>
              <w:tl2br w:val="nil"/>
              <w:tr2bl w:val="nil"/>
            </w:tcBorders>
            <w:shd w:val="clear" w:color="auto" w:fill="auto"/>
            <w:noWrap/>
          </w:tcPr>
          <w:p w14:paraId="0A19D08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-1.92</w:t>
            </w:r>
          </w:p>
        </w:tc>
        <w:tc>
          <w:tcPr>
            <w:tcW w:w="567" w:type="dxa"/>
            <w:tcBorders>
              <w:tl2br w:val="nil"/>
              <w:tr2bl w:val="nil"/>
            </w:tcBorders>
            <w:shd w:val="clear" w:color="auto" w:fill="auto"/>
            <w:noWrap/>
          </w:tcPr>
          <w:p w14:paraId="50903CB0">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-1.27</w:t>
            </w:r>
          </w:p>
        </w:tc>
      </w:tr>
      <w:tr w14:paraId="4D8FD392">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538891C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EP</w:t>
            </w:r>
          </w:p>
        </w:tc>
        <w:tc>
          <w:tcPr>
            <w:tcW w:w="567" w:type="dxa"/>
            <w:tcBorders>
              <w:tl2br w:val="nil"/>
              <w:tr2bl w:val="nil"/>
            </w:tcBorders>
            <w:shd w:val="clear" w:color="auto" w:fill="auto"/>
            <w:noWrap/>
          </w:tcPr>
          <w:p w14:paraId="6330C2A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-2.96</w:t>
            </w:r>
          </w:p>
        </w:tc>
        <w:tc>
          <w:tcPr>
            <w:tcW w:w="567" w:type="dxa"/>
            <w:tcBorders>
              <w:tl2br w:val="nil"/>
              <w:tr2bl w:val="nil"/>
            </w:tcBorders>
            <w:shd w:val="clear" w:color="auto" w:fill="auto"/>
            <w:noWrap/>
          </w:tcPr>
          <w:p w14:paraId="6FFC57FB">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-2.85</w:t>
            </w:r>
          </w:p>
        </w:tc>
        <w:tc>
          <w:tcPr>
            <w:tcW w:w="567" w:type="dxa"/>
            <w:tcBorders>
              <w:tl2br w:val="nil"/>
              <w:tr2bl w:val="nil"/>
            </w:tcBorders>
            <w:shd w:val="clear" w:color="auto" w:fill="auto"/>
            <w:noWrap/>
          </w:tcPr>
          <w:p w14:paraId="1CC3AE9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-0.69</w:t>
            </w:r>
          </w:p>
        </w:tc>
        <w:tc>
          <w:tcPr>
            <w:tcW w:w="567" w:type="dxa"/>
            <w:tcBorders>
              <w:tl2br w:val="nil"/>
              <w:tr2bl w:val="nil"/>
            </w:tcBorders>
            <w:shd w:val="clear" w:color="auto" w:fill="auto"/>
            <w:noWrap/>
          </w:tcPr>
          <w:p w14:paraId="3679742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-2.98</w:t>
            </w:r>
          </w:p>
        </w:tc>
        <w:tc>
          <w:tcPr>
            <w:tcW w:w="567" w:type="dxa"/>
            <w:tcBorders>
              <w:tl2br w:val="nil"/>
              <w:tr2bl w:val="nil"/>
            </w:tcBorders>
            <w:shd w:val="clear" w:color="auto" w:fill="auto"/>
            <w:noWrap/>
          </w:tcPr>
          <w:p w14:paraId="153AF92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7B511BA6">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7.45</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410E1941">
            <w:pPr>
              <w:widowControl/>
              <w:textAlignment w:val="center"/>
              <w:rPr>
                <w:rFonts w:ascii="Times New Roman" w:hAnsi="Times New Roman" w:eastAsia="Calibri" w:cs="Times New Roman"/>
                <w:kern w:val="0"/>
              </w:rPr>
            </w:pPr>
            <w:r>
              <w:rPr>
                <w:rFonts w:ascii="Times New Roman" w:hAnsi="Times New Roman" w:eastAsia="Calibri" w:cs="Times New Roman"/>
                <w:kern w:val="0"/>
                <w:lang w:eastAsia="en-US"/>
              </w:rPr>
              <w:t>6.97</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0E3037F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-1.94</w:t>
            </w:r>
          </w:p>
        </w:tc>
        <w:tc>
          <w:tcPr>
            <w:tcW w:w="567" w:type="dxa"/>
            <w:tcBorders>
              <w:tl2br w:val="nil"/>
              <w:tr2bl w:val="nil"/>
            </w:tcBorders>
            <w:shd w:val="clear" w:color="auto" w:fill="auto"/>
            <w:noWrap/>
          </w:tcPr>
          <w:p w14:paraId="0EE4AF1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-1.03</w:t>
            </w:r>
          </w:p>
        </w:tc>
        <w:tc>
          <w:tcPr>
            <w:tcW w:w="567" w:type="dxa"/>
            <w:tcBorders>
              <w:tl2br w:val="nil"/>
              <w:tr2bl w:val="nil"/>
            </w:tcBorders>
            <w:shd w:val="clear" w:color="auto" w:fill="auto"/>
            <w:noWrap/>
          </w:tcPr>
          <w:p w14:paraId="797C82C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0.18</w:t>
            </w:r>
          </w:p>
        </w:tc>
      </w:tr>
      <w:tr w14:paraId="3737144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293B90D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AH</w:t>
            </w:r>
          </w:p>
        </w:tc>
        <w:tc>
          <w:tcPr>
            <w:tcW w:w="567" w:type="dxa"/>
            <w:tcBorders>
              <w:tl2br w:val="nil"/>
              <w:tr2bl w:val="nil"/>
            </w:tcBorders>
            <w:shd w:val="clear" w:color="auto" w:fill="auto"/>
            <w:noWrap/>
          </w:tcPr>
          <w:p w14:paraId="6DDEA1B2">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-2.24</w:t>
            </w:r>
          </w:p>
        </w:tc>
        <w:tc>
          <w:tcPr>
            <w:tcW w:w="567" w:type="dxa"/>
            <w:tcBorders>
              <w:tl2br w:val="nil"/>
              <w:tr2bl w:val="nil"/>
            </w:tcBorders>
            <w:shd w:val="clear" w:color="auto" w:fill="auto"/>
            <w:noWrap/>
          </w:tcPr>
          <w:p w14:paraId="56210139">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-2.16</w:t>
            </w:r>
          </w:p>
        </w:tc>
        <w:tc>
          <w:tcPr>
            <w:tcW w:w="567" w:type="dxa"/>
            <w:tcBorders>
              <w:tl2br w:val="nil"/>
              <w:tr2bl w:val="nil"/>
            </w:tcBorders>
            <w:shd w:val="clear" w:color="auto" w:fill="auto"/>
            <w:noWrap/>
          </w:tcPr>
          <w:p w14:paraId="31BCCB2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0.60</w:t>
            </w:r>
          </w:p>
        </w:tc>
        <w:tc>
          <w:tcPr>
            <w:tcW w:w="567" w:type="dxa"/>
            <w:tcBorders>
              <w:tl2br w:val="nil"/>
              <w:tr2bl w:val="nil"/>
            </w:tcBorders>
            <w:shd w:val="clear" w:color="auto" w:fill="auto"/>
            <w:noWrap/>
          </w:tcPr>
          <w:p w14:paraId="29EF8496">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-2.25</w:t>
            </w:r>
          </w:p>
        </w:tc>
        <w:tc>
          <w:tcPr>
            <w:tcW w:w="567" w:type="dxa"/>
            <w:tcBorders>
              <w:tl2br w:val="nil"/>
              <w:tr2bl w:val="nil"/>
            </w:tcBorders>
            <w:shd w:val="clear" w:color="auto" w:fill="auto"/>
            <w:noWrap/>
          </w:tcPr>
          <w:p w14:paraId="0918E02D">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3.34</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60DA18C8">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0EE93151">
            <w:pPr>
              <w:widowControl/>
              <w:textAlignment w:val="center"/>
              <w:rPr>
                <w:rFonts w:ascii="Times New Roman" w:hAnsi="Times New Roman" w:eastAsia="Calibri" w:cs="Times New Roman"/>
                <w:kern w:val="0"/>
              </w:rPr>
            </w:pPr>
            <w:r>
              <w:rPr>
                <w:rFonts w:ascii="Times New Roman" w:hAnsi="Times New Roman" w:eastAsia="Calibri" w:cs="Times New Roman"/>
                <w:kern w:val="0"/>
                <w:lang w:eastAsia="en-US"/>
              </w:rPr>
              <w:t>9.96</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205AE42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-1.46</w:t>
            </w:r>
          </w:p>
        </w:tc>
        <w:tc>
          <w:tcPr>
            <w:tcW w:w="567" w:type="dxa"/>
            <w:tcBorders>
              <w:tl2br w:val="nil"/>
              <w:tr2bl w:val="nil"/>
            </w:tcBorders>
            <w:shd w:val="clear" w:color="auto" w:fill="auto"/>
            <w:noWrap/>
          </w:tcPr>
          <w:p w14:paraId="4B66644A">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-1.29</w:t>
            </w:r>
          </w:p>
        </w:tc>
        <w:tc>
          <w:tcPr>
            <w:tcW w:w="567" w:type="dxa"/>
            <w:tcBorders>
              <w:tl2br w:val="nil"/>
              <w:tr2bl w:val="nil"/>
            </w:tcBorders>
            <w:shd w:val="clear" w:color="auto" w:fill="auto"/>
            <w:noWrap/>
          </w:tcPr>
          <w:p w14:paraId="434B16E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-2.70</w:t>
            </w:r>
          </w:p>
        </w:tc>
      </w:tr>
      <w:tr w14:paraId="12A9D8B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53C331A3">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DE</w:t>
            </w:r>
          </w:p>
        </w:tc>
        <w:tc>
          <w:tcPr>
            <w:tcW w:w="567" w:type="dxa"/>
            <w:tcBorders>
              <w:tl2br w:val="nil"/>
              <w:tr2bl w:val="nil"/>
            </w:tcBorders>
            <w:shd w:val="clear" w:color="auto" w:fill="auto"/>
            <w:noWrap/>
          </w:tcPr>
          <w:p w14:paraId="1946E452">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-2.32</w:t>
            </w:r>
          </w:p>
        </w:tc>
        <w:tc>
          <w:tcPr>
            <w:tcW w:w="567" w:type="dxa"/>
            <w:tcBorders>
              <w:tl2br w:val="nil"/>
              <w:tr2bl w:val="nil"/>
            </w:tcBorders>
            <w:shd w:val="clear" w:color="auto" w:fill="auto"/>
            <w:noWrap/>
          </w:tcPr>
          <w:p w14:paraId="534A2C48">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-2.24</w:t>
            </w:r>
          </w:p>
        </w:tc>
        <w:tc>
          <w:tcPr>
            <w:tcW w:w="567" w:type="dxa"/>
            <w:tcBorders>
              <w:tl2br w:val="nil"/>
              <w:tr2bl w:val="nil"/>
            </w:tcBorders>
            <w:shd w:val="clear" w:color="auto" w:fill="auto"/>
            <w:noWrap/>
          </w:tcPr>
          <w:p w14:paraId="0D6D556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-2.26</w:t>
            </w:r>
          </w:p>
        </w:tc>
        <w:tc>
          <w:tcPr>
            <w:tcW w:w="567" w:type="dxa"/>
            <w:tcBorders>
              <w:tl2br w:val="nil"/>
              <w:tr2bl w:val="nil"/>
            </w:tcBorders>
            <w:shd w:val="clear" w:color="auto" w:fill="auto"/>
            <w:noWrap/>
          </w:tcPr>
          <w:p w14:paraId="419ABAB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-2.34</w:t>
            </w:r>
          </w:p>
        </w:tc>
        <w:tc>
          <w:tcPr>
            <w:tcW w:w="567" w:type="dxa"/>
            <w:tcBorders>
              <w:tl2br w:val="nil"/>
              <w:tr2bl w:val="nil"/>
            </w:tcBorders>
            <w:shd w:val="clear" w:color="auto" w:fill="auto"/>
            <w:noWrap/>
          </w:tcPr>
          <w:p w14:paraId="217AA4A5">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-1.51</w:t>
            </w:r>
          </w:p>
        </w:tc>
        <w:tc>
          <w:tcPr>
            <w:tcW w:w="567" w:type="dxa"/>
            <w:tcBorders>
              <w:tl2br w:val="nil"/>
              <w:tr2bl w:val="nil"/>
            </w:tcBorders>
            <w:shd w:val="clear" w:color="auto" w:fill="auto"/>
            <w:noWrap/>
          </w:tcPr>
          <w:p w14:paraId="14C54F4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3.85</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42205293">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2DFCA379">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7.52</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53F3816D">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5.38</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195D6B09">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-0.96</w:t>
            </w:r>
          </w:p>
        </w:tc>
      </w:tr>
      <w:tr w14:paraId="6D4BF38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6CD53094">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ET</w:t>
            </w:r>
          </w:p>
        </w:tc>
        <w:tc>
          <w:tcPr>
            <w:tcW w:w="567" w:type="dxa"/>
            <w:tcBorders>
              <w:tl2br w:val="nil"/>
              <w:tr2bl w:val="nil"/>
            </w:tcBorders>
            <w:shd w:val="clear" w:color="auto" w:fill="auto"/>
            <w:noWrap/>
          </w:tcPr>
          <w:p w14:paraId="48D06BE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-1.62</w:t>
            </w:r>
          </w:p>
        </w:tc>
        <w:tc>
          <w:tcPr>
            <w:tcW w:w="567" w:type="dxa"/>
            <w:tcBorders>
              <w:tl2br w:val="nil"/>
              <w:tr2bl w:val="nil"/>
            </w:tcBorders>
            <w:shd w:val="clear" w:color="auto" w:fill="auto"/>
            <w:noWrap/>
          </w:tcPr>
          <w:p w14:paraId="793B13C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-1.56</w:t>
            </w:r>
          </w:p>
        </w:tc>
        <w:tc>
          <w:tcPr>
            <w:tcW w:w="567" w:type="dxa"/>
            <w:tcBorders>
              <w:tl2br w:val="nil"/>
              <w:tr2bl w:val="nil"/>
            </w:tcBorders>
            <w:shd w:val="clear" w:color="auto" w:fill="auto"/>
            <w:noWrap/>
          </w:tcPr>
          <w:p w14:paraId="456FA9BA">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-1.58</w:t>
            </w:r>
          </w:p>
        </w:tc>
        <w:tc>
          <w:tcPr>
            <w:tcW w:w="567" w:type="dxa"/>
            <w:tcBorders>
              <w:tl2br w:val="nil"/>
              <w:tr2bl w:val="nil"/>
            </w:tcBorders>
            <w:shd w:val="clear" w:color="auto" w:fill="auto"/>
            <w:noWrap/>
          </w:tcPr>
          <w:p w14:paraId="3A768417">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-1.63</w:t>
            </w:r>
          </w:p>
        </w:tc>
        <w:tc>
          <w:tcPr>
            <w:tcW w:w="567" w:type="dxa"/>
            <w:tcBorders>
              <w:tl2br w:val="nil"/>
              <w:tr2bl w:val="nil"/>
            </w:tcBorders>
            <w:shd w:val="clear" w:color="auto" w:fill="auto"/>
            <w:noWrap/>
          </w:tcPr>
          <w:p w14:paraId="4BAF2BCC">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-1.45</w:t>
            </w:r>
          </w:p>
        </w:tc>
        <w:tc>
          <w:tcPr>
            <w:tcW w:w="567" w:type="dxa"/>
            <w:tcBorders>
              <w:tl2br w:val="nil"/>
              <w:tr2bl w:val="nil"/>
            </w:tcBorders>
            <w:shd w:val="clear" w:color="auto" w:fill="auto"/>
            <w:noWrap/>
          </w:tcPr>
          <w:p w14:paraId="6B66D97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-1.17</w:t>
            </w:r>
          </w:p>
        </w:tc>
        <w:tc>
          <w:tcPr>
            <w:tcW w:w="567" w:type="dxa"/>
            <w:tcBorders>
              <w:tl2br w:val="nil"/>
              <w:tr2bl w:val="nil"/>
            </w:tcBorders>
            <w:shd w:val="clear" w:color="auto" w:fill="auto"/>
            <w:noWrap/>
          </w:tcPr>
          <w:p w14:paraId="1A5DB11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-1.23</w:t>
            </w:r>
          </w:p>
        </w:tc>
        <w:tc>
          <w:tcPr>
            <w:tcW w:w="567" w:type="dxa"/>
            <w:tcBorders>
              <w:tl2br w:val="nil"/>
              <w:tr2bl w:val="nil"/>
            </w:tcBorders>
            <w:shd w:val="clear" w:color="auto" w:fill="auto"/>
            <w:noWrap/>
          </w:tcPr>
          <w:p w14:paraId="4D3E3B66">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6DCF5B73">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8.36</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3F5F40CA">
            <w:pPr>
              <w:widowControl/>
              <w:textAlignment w:val="center"/>
              <w:rPr>
                <w:rFonts w:ascii="Times New Roman" w:hAnsi="Times New Roman" w:eastAsia="Calibri" w:cs="Times New Roman"/>
                <w:kern w:val="0"/>
                <w:lang w:eastAsia="en-US"/>
              </w:rPr>
            </w:pPr>
            <w:r>
              <w:rPr>
                <w:rFonts w:ascii="Times New Roman" w:hAnsi="Times New Roman" w:eastAsia="Calibri" w:cs="Times New Roman"/>
                <w:kern w:val="0"/>
                <w:lang w:eastAsia="en-US"/>
              </w:rPr>
              <w:t>3.76</w:t>
            </w:r>
            <w:r>
              <w:rPr>
                <w:rFonts w:ascii="Times New Roman" w:hAnsi="Times New Roman" w:eastAsia="Calibri" w:cs="Times New Roman"/>
                <w:kern w:val="0"/>
                <w:vertAlign w:val="superscript"/>
                <w:lang w:eastAsia="en-US"/>
              </w:rPr>
              <w:t>*</w:t>
            </w:r>
          </w:p>
        </w:tc>
      </w:tr>
      <w:tr w14:paraId="030B8EA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16BBF376">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SH</w:t>
            </w:r>
          </w:p>
        </w:tc>
        <w:tc>
          <w:tcPr>
            <w:tcW w:w="567" w:type="dxa"/>
            <w:tcBorders>
              <w:tl2br w:val="nil"/>
              <w:tr2bl w:val="nil"/>
            </w:tcBorders>
            <w:shd w:val="clear" w:color="auto" w:fill="auto"/>
            <w:noWrap/>
          </w:tcPr>
          <w:p w14:paraId="0F73FD9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-1.35</w:t>
            </w:r>
          </w:p>
        </w:tc>
        <w:tc>
          <w:tcPr>
            <w:tcW w:w="567" w:type="dxa"/>
            <w:tcBorders>
              <w:tl2br w:val="nil"/>
              <w:tr2bl w:val="nil"/>
            </w:tcBorders>
            <w:shd w:val="clear" w:color="auto" w:fill="auto"/>
            <w:noWrap/>
          </w:tcPr>
          <w:p w14:paraId="478317DD">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-1.30</w:t>
            </w:r>
          </w:p>
        </w:tc>
        <w:tc>
          <w:tcPr>
            <w:tcW w:w="567" w:type="dxa"/>
            <w:tcBorders>
              <w:tl2br w:val="nil"/>
              <w:tr2bl w:val="nil"/>
            </w:tcBorders>
            <w:shd w:val="clear" w:color="auto" w:fill="auto"/>
            <w:noWrap/>
          </w:tcPr>
          <w:p w14:paraId="10B177A2">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-1.31</w:t>
            </w:r>
          </w:p>
        </w:tc>
        <w:tc>
          <w:tcPr>
            <w:tcW w:w="567" w:type="dxa"/>
            <w:tcBorders>
              <w:tl2br w:val="nil"/>
              <w:tr2bl w:val="nil"/>
            </w:tcBorders>
            <w:shd w:val="clear" w:color="auto" w:fill="auto"/>
            <w:noWrap/>
          </w:tcPr>
          <w:p w14:paraId="3DBF49B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-1.36</w:t>
            </w:r>
          </w:p>
        </w:tc>
        <w:tc>
          <w:tcPr>
            <w:tcW w:w="567" w:type="dxa"/>
            <w:tcBorders>
              <w:tl2br w:val="nil"/>
              <w:tr2bl w:val="nil"/>
            </w:tcBorders>
            <w:shd w:val="clear" w:color="auto" w:fill="auto"/>
            <w:noWrap/>
          </w:tcPr>
          <w:p w14:paraId="3A22419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-1.21</w:t>
            </w:r>
          </w:p>
        </w:tc>
        <w:tc>
          <w:tcPr>
            <w:tcW w:w="567" w:type="dxa"/>
            <w:tcBorders>
              <w:tl2br w:val="nil"/>
              <w:tr2bl w:val="nil"/>
            </w:tcBorders>
            <w:shd w:val="clear" w:color="auto" w:fill="auto"/>
            <w:noWrap/>
          </w:tcPr>
          <w:p w14:paraId="0AF1E6AD">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-0.97</w:t>
            </w:r>
          </w:p>
        </w:tc>
        <w:tc>
          <w:tcPr>
            <w:tcW w:w="567" w:type="dxa"/>
            <w:tcBorders>
              <w:tl2br w:val="nil"/>
              <w:tr2bl w:val="nil"/>
            </w:tcBorders>
            <w:shd w:val="clear" w:color="auto" w:fill="auto"/>
            <w:noWrap/>
          </w:tcPr>
          <w:p w14:paraId="328BE6E6">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-1.02</w:t>
            </w:r>
          </w:p>
        </w:tc>
        <w:tc>
          <w:tcPr>
            <w:tcW w:w="567" w:type="dxa"/>
            <w:tcBorders>
              <w:tl2br w:val="nil"/>
              <w:tr2bl w:val="nil"/>
            </w:tcBorders>
            <w:shd w:val="clear" w:color="auto" w:fill="auto"/>
            <w:noWrap/>
          </w:tcPr>
          <w:p w14:paraId="724AE75D">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4.08</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4E9100D4">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c>
          <w:tcPr>
            <w:tcW w:w="567" w:type="dxa"/>
            <w:tcBorders>
              <w:tl2br w:val="nil"/>
              <w:tr2bl w:val="nil"/>
            </w:tcBorders>
            <w:shd w:val="clear" w:color="auto" w:fill="auto"/>
            <w:noWrap/>
          </w:tcPr>
          <w:p w14:paraId="5B6CFC49">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4.43</w:t>
            </w:r>
            <w:r>
              <w:rPr>
                <w:rFonts w:ascii="Times New Roman" w:hAnsi="Times New Roman" w:eastAsia="Calibri" w:cs="Times New Roman"/>
                <w:kern w:val="0"/>
                <w:vertAlign w:val="superscript"/>
                <w:lang w:eastAsia="en-US"/>
              </w:rPr>
              <w:t>*</w:t>
            </w:r>
          </w:p>
        </w:tc>
      </w:tr>
      <w:tr w14:paraId="638C9BB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jc w:val="center"/>
        </w:trPr>
        <w:tc>
          <w:tcPr>
            <w:tcW w:w="567" w:type="dxa"/>
            <w:tcBorders>
              <w:tl2br w:val="nil"/>
              <w:tr2bl w:val="nil"/>
            </w:tcBorders>
            <w:shd w:val="clear" w:color="auto" w:fill="auto"/>
            <w:noWrap/>
          </w:tcPr>
          <w:p w14:paraId="300EFFA0">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IB</w:t>
            </w:r>
          </w:p>
        </w:tc>
        <w:tc>
          <w:tcPr>
            <w:tcW w:w="567" w:type="dxa"/>
            <w:tcBorders>
              <w:tl2br w:val="nil"/>
              <w:tr2bl w:val="nil"/>
            </w:tcBorders>
            <w:shd w:val="clear" w:color="auto" w:fill="auto"/>
            <w:noWrap/>
          </w:tcPr>
          <w:p w14:paraId="798E267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6.16</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46D6BABE">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-0.83</w:t>
            </w:r>
          </w:p>
        </w:tc>
        <w:tc>
          <w:tcPr>
            <w:tcW w:w="567" w:type="dxa"/>
            <w:tcBorders>
              <w:tl2br w:val="nil"/>
              <w:tr2bl w:val="nil"/>
            </w:tcBorders>
            <w:shd w:val="clear" w:color="auto" w:fill="auto"/>
            <w:noWrap/>
          </w:tcPr>
          <w:p w14:paraId="32D900AF">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-0.52</w:t>
            </w:r>
          </w:p>
        </w:tc>
        <w:tc>
          <w:tcPr>
            <w:tcW w:w="567" w:type="dxa"/>
            <w:tcBorders>
              <w:tl2br w:val="nil"/>
              <w:tr2bl w:val="nil"/>
            </w:tcBorders>
            <w:shd w:val="clear" w:color="auto" w:fill="auto"/>
            <w:noWrap/>
          </w:tcPr>
          <w:p w14:paraId="57157703">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-0.35</w:t>
            </w:r>
          </w:p>
        </w:tc>
        <w:tc>
          <w:tcPr>
            <w:tcW w:w="567" w:type="dxa"/>
            <w:tcBorders>
              <w:tl2br w:val="nil"/>
              <w:tr2bl w:val="nil"/>
            </w:tcBorders>
            <w:shd w:val="clear" w:color="auto" w:fill="auto"/>
            <w:noWrap/>
          </w:tcPr>
          <w:p w14:paraId="3BF956E9">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-3.23</w:t>
            </w:r>
          </w:p>
        </w:tc>
        <w:tc>
          <w:tcPr>
            <w:tcW w:w="567" w:type="dxa"/>
            <w:tcBorders>
              <w:tl2br w:val="nil"/>
              <w:tr2bl w:val="nil"/>
            </w:tcBorders>
            <w:shd w:val="clear" w:color="auto" w:fill="auto"/>
            <w:noWrap/>
          </w:tcPr>
          <w:p w14:paraId="135428D1">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-2.60</w:t>
            </w:r>
          </w:p>
        </w:tc>
        <w:tc>
          <w:tcPr>
            <w:tcW w:w="567" w:type="dxa"/>
            <w:tcBorders>
              <w:tl2br w:val="nil"/>
              <w:tr2bl w:val="nil"/>
            </w:tcBorders>
            <w:shd w:val="clear" w:color="auto" w:fill="auto"/>
            <w:noWrap/>
          </w:tcPr>
          <w:p w14:paraId="08F563D5">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-2.72</w:t>
            </w:r>
          </w:p>
        </w:tc>
        <w:tc>
          <w:tcPr>
            <w:tcW w:w="567" w:type="dxa"/>
            <w:tcBorders>
              <w:tl2br w:val="nil"/>
              <w:tr2bl w:val="nil"/>
            </w:tcBorders>
            <w:shd w:val="clear" w:color="auto" w:fill="auto"/>
            <w:noWrap/>
          </w:tcPr>
          <w:p w14:paraId="068976E4">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4.97</w:t>
            </w:r>
            <w:r>
              <w:rPr>
                <w:rFonts w:ascii="Times New Roman" w:hAnsi="Times New Roman" w:eastAsia="Calibri" w:cs="Times New Roman"/>
                <w:kern w:val="0"/>
                <w:vertAlign w:val="superscript"/>
                <w:lang w:eastAsia="en-US"/>
              </w:rPr>
              <w:t>*</w:t>
            </w:r>
          </w:p>
        </w:tc>
        <w:tc>
          <w:tcPr>
            <w:tcW w:w="567" w:type="dxa"/>
            <w:tcBorders>
              <w:tl2br w:val="nil"/>
              <w:tr2bl w:val="nil"/>
            </w:tcBorders>
            <w:shd w:val="clear" w:color="auto" w:fill="auto"/>
            <w:noWrap/>
          </w:tcPr>
          <w:p w14:paraId="45A61156">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-1.50</w:t>
            </w:r>
          </w:p>
        </w:tc>
        <w:tc>
          <w:tcPr>
            <w:tcW w:w="567" w:type="dxa"/>
            <w:tcBorders>
              <w:tl2br w:val="nil"/>
              <w:tr2bl w:val="nil"/>
            </w:tcBorders>
            <w:shd w:val="clear" w:color="auto" w:fill="auto"/>
            <w:noWrap/>
          </w:tcPr>
          <w:p w14:paraId="5440429B">
            <w:pPr>
              <w:widowControl/>
              <w:textAlignment w:val="center"/>
              <w:rPr>
                <w:rFonts w:ascii="Times New Roman" w:hAnsi="Times New Roman" w:eastAsia="宋体" w:cs="Times New Roman"/>
                <w:color w:val="000000"/>
                <w:kern w:val="0"/>
                <w:szCs w:val="24"/>
                <w:lang w:eastAsia="en-US"/>
              </w:rPr>
            </w:pPr>
            <w:r>
              <w:rPr>
                <w:rFonts w:ascii="Times New Roman" w:hAnsi="Times New Roman" w:eastAsia="Calibri" w:cs="Times New Roman"/>
                <w:kern w:val="0"/>
                <w:lang w:eastAsia="en-US"/>
              </w:rPr>
              <w:t>0.00</w:t>
            </w:r>
          </w:p>
        </w:tc>
      </w:tr>
    </w:tbl>
    <w:p w14:paraId="0C615E45">
      <w:pPr>
        <w:widowControl/>
        <w:textAlignment w:val="center"/>
        <w:rPr>
          <w:rFonts w:ascii="Times New Roman" w:hAnsi="Times New Roman" w:eastAsia="Calibri" w:cs="Times New Roman"/>
          <w:kern w:val="0"/>
          <w:vertAlign w:val="superscript"/>
          <w:lang w:eastAsia="en-US"/>
        </w:rPr>
      </w:pPr>
      <w:r>
        <w:rPr>
          <w:rFonts w:ascii="Times New Roman" w:hAnsi="Times New Roman" w:eastAsia="Calibri" w:cs="Times New Roman"/>
          <w:kern w:val="0"/>
          <w:vertAlign w:val="superscript"/>
          <w:lang w:eastAsia="en-US"/>
        </w:rPr>
        <w:t xml:space="preserve">* </w:t>
      </w:r>
      <w:r>
        <w:rPr>
          <w:rFonts w:ascii="Times New Roman Italic" w:hAnsi="Times New Roman Italic" w:eastAsia="Calibri" w:cs="Times New Roman Italic"/>
          <w:i/>
          <w:iCs/>
          <w:kern w:val="0"/>
          <w:vertAlign w:val="superscript"/>
          <w:lang w:eastAsia="en-US"/>
        </w:rPr>
        <w:t xml:space="preserve">Z </w:t>
      </w:r>
      <w:r>
        <w:rPr>
          <w:rFonts w:ascii="Times New Roman" w:hAnsi="Times New Roman" w:eastAsia="Calibri" w:cs="Times New Roman"/>
          <w:kern w:val="0"/>
          <w:vertAlign w:val="superscript"/>
          <w:lang w:eastAsia="en-US"/>
        </w:rPr>
        <w:t>&gt; 1.96</w:t>
      </w:r>
    </w:p>
    <w:p w14:paraId="1DD46168">
      <w:pPr>
        <w:pStyle w:val="20"/>
        <w:adjustRightInd w:val="0"/>
        <w:snapToGrid w:val="0"/>
        <w:spacing w:line="360" w:lineRule="auto"/>
        <w:ind w:left="0" w:leftChars="0"/>
        <w:jc w:val="both"/>
        <w:rPr>
          <w:rFonts w:ascii="Times New Roman" w:hAnsi="Times New Roman" w:cs="Times New Roman"/>
        </w:rPr>
      </w:pPr>
    </w:p>
    <w:p w14:paraId="0A34207C">
      <w:pPr>
        <w:pStyle w:val="20"/>
        <w:adjustRightInd w:val="0"/>
        <w:snapToGrid w:val="0"/>
        <w:spacing w:line="360" w:lineRule="auto"/>
        <w:ind w:left="0" w:leftChars="0" w:firstLine="480" w:firstLineChars="200"/>
        <w:jc w:val="both"/>
        <w:rPr>
          <w:rFonts w:ascii="Times New Roman" w:hAnsi="Times New Roman" w:cs="Times New Roman"/>
        </w:rPr>
      </w:pPr>
      <w:r>
        <w:rPr>
          <w:rFonts w:ascii="Times New Roman" w:hAnsi="Times New Roman" w:cs="Times New Roman"/>
        </w:rPr>
        <w:t xml:space="preserve">The transition diagram of significant behavioral sequences of the two groups is shown in </w:t>
      </w:r>
      <w:r>
        <w:rPr>
          <w:rFonts w:hint="eastAsia" w:ascii="Times New Roman" w:hAnsi="Times New Roman" w:cs="Times New Roman"/>
        </w:rPr>
        <w:t>Fig.</w:t>
      </w:r>
      <w:r>
        <w:rPr>
          <w:rFonts w:ascii="Times New Roman" w:hAnsi="Times New Roman" w:cs="Times New Roman"/>
        </w:rPr>
        <w:t xml:space="preserve"> </w:t>
      </w:r>
      <w:r>
        <w:rPr>
          <w:rFonts w:hint="eastAsia" w:ascii="Times New Roman" w:hAnsi="Times New Roman" w:cs="Times New Roman"/>
        </w:rPr>
        <w:t>10</w:t>
      </w:r>
      <w:r>
        <w:rPr>
          <w:rFonts w:ascii="Times New Roman" w:hAnsi="Times New Roman" w:cs="Times New Roman"/>
        </w:rPr>
        <w:t xml:space="preserve"> and 1</w:t>
      </w:r>
      <w:r>
        <w:rPr>
          <w:rFonts w:hint="eastAsia" w:ascii="Times New Roman" w:hAnsi="Times New Roman" w:cs="Times New Roman"/>
        </w:rPr>
        <w:t>1</w:t>
      </w:r>
      <w:r>
        <w:rPr>
          <w:rFonts w:ascii="Times New Roman" w:hAnsi="Times New Roman" w:cs="Times New Roman"/>
        </w:rPr>
        <w:t xml:space="preserve">, respectively. The black lines imply significant sequences happening simultaneously in the two groups, whereas the red lines represent important sequences that only exist in the experimental or control group. As demonstrated in </w:t>
      </w:r>
      <w:r>
        <w:rPr>
          <w:rFonts w:hint="eastAsia" w:ascii="Times New Roman" w:hAnsi="Times New Roman" w:cs="Times New Roman"/>
        </w:rPr>
        <w:t>Fig.</w:t>
      </w:r>
      <w:r>
        <w:rPr>
          <w:rFonts w:ascii="Times New Roman" w:hAnsi="Times New Roman" w:cs="Times New Roman"/>
        </w:rPr>
        <w:t xml:space="preserve"> </w:t>
      </w:r>
      <w:r>
        <w:rPr>
          <w:rFonts w:hint="eastAsia" w:ascii="Times New Roman" w:hAnsi="Times New Roman" w:cs="Times New Roman"/>
        </w:rPr>
        <w:t>10</w:t>
      </w:r>
      <w:r>
        <w:rPr>
          <w:rFonts w:ascii="Times New Roman" w:hAnsi="Times New Roman" w:cs="Times New Roman"/>
        </w:rPr>
        <w:t xml:space="preserve">, children in the experimental group repeatedly listened to and interacted with the teacher (LT→IT→LT), followed by </w:t>
      </w:r>
      <w:r>
        <w:rPr>
          <w:rFonts w:hint="eastAsia" w:ascii="Times New Roman" w:hAnsi="Times New Roman" w:cs="Times New Roman"/>
        </w:rPr>
        <w:t>discussion</w:t>
      </w:r>
      <w:r>
        <w:rPr>
          <w:rFonts w:ascii="Times New Roman" w:hAnsi="Times New Roman" w:cs="Times New Roman"/>
        </w:rPr>
        <w:t xml:space="preserve"> with peers (LT→DP) in the instructional process. After discussing with their peers, the children attempted to write the programs, and then fewer children would ask for help (WP→AH), while more children would execute their work (WP→EP). </w:t>
      </w:r>
      <w:r>
        <w:rPr>
          <w:rFonts w:hint="eastAsia" w:ascii="Times New Roman" w:hAnsi="Times New Roman" w:cs="Times New Roman"/>
        </w:rPr>
        <w:t xml:space="preserve">When children completed </w:t>
      </w:r>
      <w:r>
        <w:rPr>
          <w:rFonts w:ascii="Times New Roman" w:hAnsi="Times New Roman" w:cs="Times New Roman"/>
        </w:rPr>
        <w:t xml:space="preserve">the </w:t>
      </w:r>
      <w:r>
        <w:rPr>
          <w:rFonts w:hint="eastAsia" w:ascii="Times New Roman" w:hAnsi="Times New Roman" w:cs="Times New Roman"/>
        </w:rPr>
        <w:t>execution tasks, some turned to debug</w:t>
      </w:r>
      <w:r>
        <w:rPr>
          <w:rFonts w:ascii="Times New Roman" w:hAnsi="Times New Roman" w:cs="Times New Roman"/>
        </w:rPr>
        <w:t>ging</w:t>
      </w:r>
      <w:r>
        <w:rPr>
          <w:rFonts w:hint="eastAsia" w:ascii="Times New Roman" w:hAnsi="Times New Roman" w:cs="Times New Roman"/>
        </w:rPr>
        <w:t xml:space="preserve"> and then sharing works (EP→DE→SH), while others directly turned to shar</w:t>
      </w:r>
      <w:r>
        <w:rPr>
          <w:rFonts w:ascii="Times New Roman" w:hAnsi="Times New Roman" w:cs="Times New Roman"/>
        </w:rPr>
        <w:t>ing</w:t>
      </w:r>
      <w:r>
        <w:rPr>
          <w:rFonts w:hint="eastAsia" w:ascii="Times New Roman" w:hAnsi="Times New Roman" w:cs="Times New Roman"/>
        </w:rPr>
        <w:t xml:space="preserve"> (EP→SH). Surprisingly, </w:t>
      </w:r>
      <w:r>
        <w:rPr>
          <w:rFonts w:ascii="Times New Roman" w:hAnsi="Times New Roman" w:cs="Times New Roman"/>
        </w:rPr>
        <w:t xml:space="preserve">the </w:t>
      </w:r>
      <w:r>
        <w:rPr>
          <w:rFonts w:hint="eastAsia" w:ascii="Times New Roman" w:hAnsi="Times New Roman" w:cs="Times New Roman"/>
        </w:rPr>
        <w:t xml:space="preserve">children in the experimental group repeatedly shared and extended </w:t>
      </w:r>
      <w:r>
        <w:rPr>
          <w:rFonts w:ascii="Times New Roman" w:hAnsi="Times New Roman" w:cs="Times New Roman"/>
        </w:rPr>
        <w:t xml:space="preserve">the </w:t>
      </w:r>
      <w:r>
        <w:rPr>
          <w:rFonts w:hint="eastAsia" w:ascii="Times New Roman" w:hAnsi="Times New Roman" w:cs="Times New Roman"/>
        </w:rPr>
        <w:t xml:space="preserve">learning tasks (SH→ET→SH). This showed that learning programming with metaphors in the experimental group </w:t>
      </w:r>
      <w:r>
        <w:rPr>
          <w:rFonts w:ascii="Times New Roman" w:hAnsi="Times New Roman" w:cs="Times New Roman"/>
        </w:rPr>
        <w:t>helped the</w:t>
      </w:r>
      <w:r>
        <w:rPr>
          <w:rFonts w:hint="eastAsia" w:ascii="Times New Roman" w:hAnsi="Times New Roman" w:cs="Times New Roman"/>
        </w:rPr>
        <w:t xml:space="preserve"> children </w:t>
      </w:r>
      <w:r>
        <w:rPr>
          <w:rFonts w:ascii="Times New Roman" w:hAnsi="Times New Roman" w:cs="Times New Roman"/>
        </w:rPr>
        <w:t>to</w:t>
      </w:r>
      <w:r>
        <w:rPr>
          <w:rFonts w:hint="eastAsia" w:ascii="Times New Roman" w:hAnsi="Times New Roman" w:cs="Times New Roman"/>
        </w:rPr>
        <w:t xml:space="preserve"> grasp</w:t>
      </w:r>
      <w:r>
        <w:rPr>
          <w:rFonts w:ascii="Times New Roman" w:hAnsi="Times New Roman" w:cs="Times New Roman"/>
        </w:rPr>
        <w:t xml:space="preserve"> the</w:t>
      </w:r>
      <w:r>
        <w:rPr>
          <w:rFonts w:hint="eastAsia" w:ascii="Times New Roman" w:hAnsi="Times New Roman" w:cs="Times New Roman"/>
        </w:rPr>
        <w:t xml:space="preserve"> basic concepts and skills, as </w:t>
      </w:r>
      <w:r>
        <w:rPr>
          <w:rFonts w:ascii="Times New Roman" w:hAnsi="Times New Roman" w:cs="Times New Roman"/>
        </w:rPr>
        <w:t>they could</w:t>
      </w:r>
      <w:r>
        <w:rPr>
          <w:rFonts w:hint="eastAsia" w:ascii="Times New Roman" w:hAnsi="Times New Roman" w:cs="Times New Roman"/>
        </w:rPr>
        <w:t xml:space="preserve"> complete </w:t>
      </w:r>
      <w:r>
        <w:rPr>
          <w:rFonts w:ascii="Times New Roman" w:hAnsi="Times New Roman" w:cs="Times New Roman"/>
        </w:rPr>
        <w:t xml:space="preserve">the </w:t>
      </w:r>
      <w:r>
        <w:rPr>
          <w:rFonts w:hint="eastAsia" w:ascii="Times New Roman" w:hAnsi="Times New Roman" w:cs="Times New Roman"/>
        </w:rPr>
        <w:t xml:space="preserve">programming assignments without much help and even spontaneously extend </w:t>
      </w:r>
      <w:r>
        <w:rPr>
          <w:rFonts w:ascii="Times New Roman" w:hAnsi="Times New Roman" w:cs="Times New Roman"/>
        </w:rPr>
        <w:t xml:space="preserve">the </w:t>
      </w:r>
      <w:r>
        <w:rPr>
          <w:rFonts w:hint="eastAsia" w:ascii="Times New Roman" w:hAnsi="Times New Roman" w:cs="Times New Roman"/>
        </w:rPr>
        <w:t>tasks.</w:t>
      </w:r>
    </w:p>
    <w:p w14:paraId="523BDCFC">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 xml:space="preserve">From Fig. 11, it </w:t>
      </w:r>
      <w:r>
        <w:rPr>
          <w:rFonts w:ascii="Times New Roman" w:hAnsi="Times New Roman" w:cs="Times New Roman"/>
        </w:rPr>
        <w:t>wa</w:t>
      </w:r>
      <w:r>
        <w:rPr>
          <w:rFonts w:hint="eastAsia" w:ascii="Times New Roman" w:hAnsi="Times New Roman" w:cs="Times New Roman"/>
        </w:rPr>
        <w:t xml:space="preserve">s found that children in the control group, except </w:t>
      </w:r>
      <w:r>
        <w:rPr>
          <w:rFonts w:ascii="Times New Roman" w:hAnsi="Times New Roman" w:cs="Times New Roman"/>
        </w:rPr>
        <w:t xml:space="preserve">for </w:t>
      </w:r>
      <w:r>
        <w:rPr>
          <w:rFonts w:hint="eastAsia" w:ascii="Times New Roman" w:hAnsi="Times New Roman" w:cs="Times New Roman"/>
        </w:rPr>
        <w:t>those engaged in the instructional process (LT→IT→LT), would exhibit some irrelevant behaviors (IT→IB→LT), either because some c</w:t>
      </w:r>
      <w:r>
        <w:rPr>
          <w:rFonts w:ascii="Times New Roman" w:hAnsi="Times New Roman" w:cs="Times New Roman"/>
        </w:rPr>
        <w:t>ould</w:t>
      </w:r>
      <w:r>
        <w:rPr>
          <w:rFonts w:hint="eastAsia" w:ascii="Times New Roman" w:hAnsi="Times New Roman" w:cs="Times New Roman"/>
        </w:rPr>
        <w:t xml:space="preserve"> not understand the abstract concepts or because they were not interested in this way of learning. In the sessions of writing the programs, the majority of children would like to discuss with peers repeatedly (WP→DP), while some children would execute programs (WP→EP) or ask for assistance (WP→AH). Afterward</w:t>
      </w:r>
      <w:r>
        <w:rPr>
          <w:rFonts w:ascii="Times New Roman" w:hAnsi="Times New Roman" w:cs="Times New Roman"/>
        </w:rPr>
        <w:t>s</w:t>
      </w:r>
      <w:r>
        <w:rPr>
          <w:rFonts w:hint="eastAsia" w:ascii="Times New Roman" w:hAnsi="Times New Roman" w:cs="Times New Roman"/>
        </w:rPr>
        <w:t xml:space="preserve">, </w:t>
      </w:r>
      <w:r>
        <w:rPr>
          <w:rFonts w:ascii="Times New Roman" w:hAnsi="Times New Roman" w:cs="Times New Roman"/>
        </w:rPr>
        <w:t>they</w:t>
      </w:r>
      <w:r>
        <w:rPr>
          <w:rFonts w:hint="eastAsia" w:ascii="Times New Roman" w:hAnsi="Times New Roman" w:cs="Times New Roman"/>
        </w:rPr>
        <w:t xml:space="preserve"> tended to repeatedly ask for others</w:t>
      </w:r>
      <w:r>
        <w:rPr>
          <w:rFonts w:ascii="Times New Roman" w:hAnsi="Times New Roman" w:cs="Times New Roman"/>
        </w:rPr>
        <w:t>’</w:t>
      </w:r>
      <w:r>
        <w:rPr>
          <w:rFonts w:hint="eastAsia" w:ascii="Times New Roman" w:hAnsi="Times New Roman" w:cs="Times New Roman"/>
        </w:rPr>
        <w:t xml:space="preserve"> help in the execution (AH→EP→AH) or debugging (AH→DE→AH) processes. This </w:t>
      </w:r>
      <w:r>
        <w:rPr>
          <w:rFonts w:ascii="Times New Roman" w:hAnsi="Times New Roman" w:cs="Times New Roman"/>
        </w:rPr>
        <w:t>seems to</w:t>
      </w:r>
      <w:r>
        <w:rPr>
          <w:rFonts w:hint="eastAsia" w:ascii="Times New Roman" w:hAnsi="Times New Roman" w:cs="Times New Roman"/>
        </w:rPr>
        <w:t xml:space="preserve"> indicate</w:t>
      </w:r>
      <w:r>
        <w:rPr>
          <w:rFonts w:ascii="Times New Roman" w:hAnsi="Times New Roman" w:cs="Times New Roman"/>
        </w:rPr>
        <w:t xml:space="preserve"> that</w:t>
      </w:r>
      <w:r>
        <w:rPr>
          <w:rFonts w:hint="eastAsia" w:ascii="Times New Roman" w:hAnsi="Times New Roman" w:cs="Times New Roman"/>
        </w:rPr>
        <w:t xml:space="preserve"> it could </w:t>
      </w:r>
      <w:r>
        <w:rPr>
          <w:rFonts w:ascii="Times New Roman" w:hAnsi="Times New Roman" w:cs="Times New Roman"/>
        </w:rPr>
        <w:t xml:space="preserve">have </w:t>
      </w:r>
      <w:r>
        <w:rPr>
          <w:rFonts w:hint="eastAsia" w:ascii="Times New Roman" w:hAnsi="Times New Roman" w:cs="Times New Roman"/>
        </w:rPr>
        <w:t>be</w:t>
      </w:r>
      <w:r>
        <w:rPr>
          <w:rFonts w:ascii="Times New Roman" w:hAnsi="Times New Roman" w:cs="Times New Roman"/>
        </w:rPr>
        <w:t>en</w:t>
      </w:r>
      <w:r>
        <w:rPr>
          <w:rFonts w:hint="eastAsia" w:ascii="Times New Roman" w:hAnsi="Times New Roman" w:cs="Times New Roman"/>
        </w:rPr>
        <w:t xml:space="preserve"> hard for the control group to complete the programming assignments on the occasions without others’ help. In addition, </w:t>
      </w:r>
      <w:r>
        <w:rPr>
          <w:rFonts w:ascii="Times New Roman" w:hAnsi="Times New Roman" w:cs="Times New Roman"/>
        </w:rPr>
        <w:t xml:space="preserve">the </w:t>
      </w:r>
      <w:r>
        <w:rPr>
          <w:rFonts w:hint="eastAsia" w:ascii="Times New Roman" w:hAnsi="Times New Roman" w:cs="Times New Roman"/>
        </w:rPr>
        <w:t>children would share after debugging or extending tasks (DE→SH, ET→SH). Moreover, the control group would perform several irrelevant behaviors after they extended and shared tasks (ET→IB, SH→IB).</w:t>
      </w:r>
    </w:p>
    <w:p w14:paraId="0D22A49C">
      <w:pPr>
        <w:pStyle w:val="20"/>
        <w:adjustRightInd w:val="0"/>
        <w:snapToGrid w:val="0"/>
        <w:spacing w:line="360" w:lineRule="auto"/>
        <w:ind w:left="0" w:leftChars="0" w:firstLine="480" w:firstLineChars="200"/>
        <w:jc w:val="both"/>
        <w:rPr>
          <w:rFonts w:ascii="Times New Roman" w:hAnsi="Times New Roman" w:cs="Times New Roman"/>
        </w:rPr>
      </w:pPr>
      <w:r>
        <w:rPr>
          <w:rFonts w:hint="eastAsia" w:ascii="Times New Roman" w:hAnsi="Times New Roman" w:cs="Times New Roman"/>
        </w:rPr>
        <w:t xml:space="preserve">Furthermore, from the red lines in Fig. 10, four behavioral patterns reached a significant level only for the experimental group. That is, </w:t>
      </w:r>
      <w:r>
        <w:rPr>
          <w:rFonts w:ascii="Times New Roman" w:hAnsi="Times New Roman" w:cs="Times New Roman"/>
        </w:rPr>
        <w:t xml:space="preserve">the </w:t>
      </w:r>
      <w:r>
        <w:rPr>
          <w:rFonts w:hint="eastAsia" w:ascii="Times New Roman" w:hAnsi="Times New Roman" w:cs="Times New Roman"/>
        </w:rPr>
        <w:t xml:space="preserve">children would like to discuss with </w:t>
      </w:r>
      <w:r>
        <w:rPr>
          <w:rFonts w:ascii="Times New Roman" w:hAnsi="Times New Roman" w:cs="Times New Roman"/>
        </w:rPr>
        <w:t xml:space="preserve">their </w:t>
      </w:r>
      <w:r>
        <w:rPr>
          <w:rFonts w:hint="eastAsia" w:ascii="Times New Roman" w:hAnsi="Times New Roman" w:cs="Times New Roman"/>
        </w:rPr>
        <w:t>peers after they listen</w:t>
      </w:r>
      <w:r>
        <w:rPr>
          <w:rFonts w:ascii="Times New Roman" w:hAnsi="Times New Roman" w:cs="Times New Roman"/>
        </w:rPr>
        <w:t>ed</w:t>
      </w:r>
      <w:r>
        <w:rPr>
          <w:rFonts w:hint="eastAsia" w:ascii="Times New Roman" w:hAnsi="Times New Roman" w:cs="Times New Roman"/>
        </w:rPr>
        <w:t xml:space="preserve"> to the teacher (LT→DP). AH→WP means </w:t>
      </w:r>
      <w:r>
        <w:rPr>
          <w:rFonts w:ascii="Times New Roman" w:hAnsi="Times New Roman" w:cs="Times New Roman"/>
        </w:rPr>
        <w:t>they</w:t>
      </w:r>
      <w:r>
        <w:rPr>
          <w:rFonts w:hint="eastAsia" w:ascii="Times New Roman" w:hAnsi="Times New Roman" w:cs="Times New Roman"/>
        </w:rPr>
        <w:t xml:space="preserve"> would continue to write the program after asking for help from </w:t>
      </w:r>
      <w:r>
        <w:rPr>
          <w:rFonts w:ascii="Times New Roman" w:hAnsi="Times New Roman" w:cs="Times New Roman"/>
        </w:rPr>
        <w:t xml:space="preserve">their </w:t>
      </w:r>
      <w:r>
        <w:rPr>
          <w:rFonts w:hint="eastAsia" w:ascii="Times New Roman" w:hAnsi="Times New Roman" w:cs="Times New Roman"/>
        </w:rPr>
        <w:t xml:space="preserve">peers or the teacher. The ideal situations are EP→SH and SH→ET: Children would execute the program and then turn to share their work rather than ask for help or debugging, or </w:t>
      </w:r>
      <w:r>
        <w:rPr>
          <w:rFonts w:ascii="Times New Roman" w:hAnsi="Times New Roman" w:cs="Times New Roman"/>
        </w:rPr>
        <w:t>they</w:t>
      </w:r>
      <w:r>
        <w:rPr>
          <w:rFonts w:hint="eastAsia" w:ascii="Times New Roman" w:hAnsi="Times New Roman" w:cs="Times New Roman"/>
        </w:rPr>
        <w:t xml:space="preserve"> would extend their learning tasks after sharing. Based on the red lines in Fig. 11, there are </w:t>
      </w:r>
      <w:r>
        <w:rPr>
          <w:rFonts w:ascii="Times New Roman" w:hAnsi="Times New Roman" w:cs="Times New Roman"/>
        </w:rPr>
        <w:t>10</w:t>
      </w:r>
      <w:r>
        <w:rPr>
          <w:rFonts w:hint="eastAsia" w:ascii="Times New Roman" w:hAnsi="Times New Roman" w:cs="Times New Roman"/>
        </w:rPr>
        <w:t xml:space="preserve"> couples of special significant sequences in the control group. LT→WP represents the children listening to the teacher and then writing the program. WP→DP, DP→EP, and DP→SH mean children would discuss with peers after they write the program and then execute the program or perform sharing. DE→ET represents children trying to debug and then extend tasks. Nevertheless, there are some inadequate situations: AH→EP and EP→AH show </w:t>
      </w:r>
      <w:r>
        <w:rPr>
          <w:rFonts w:ascii="Times New Roman" w:hAnsi="Times New Roman" w:cs="Times New Roman"/>
        </w:rPr>
        <w:t xml:space="preserve">that </w:t>
      </w:r>
      <w:r>
        <w:rPr>
          <w:rFonts w:hint="eastAsia" w:ascii="Times New Roman" w:hAnsi="Times New Roman" w:cs="Times New Roman"/>
        </w:rPr>
        <w:t xml:space="preserve">children would repeatedly ask for help and execute the program; then IT→IB and ET→IB show that </w:t>
      </w:r>
      <w:r>
        <w:rPr>
          <w:rFonts w:ascii="Times New Roman" w:hAnsi="Times New Roman" w:cs="Times New Roman"/>
        </w:rPr>
        <w:t>they</w:t>
      </w:r>
      <w:r>
        <w:rPr>
          <w:rFonts w:hint="eastAsia" w:ascii="Times New Roman" w:hAnsi="Times New Roman" w:cs="Times New Roman"/>
        </w:rPr>
        <w:t xml:space="preserve"> would perform irrelevant behaviors after they interact</w:t>
      </w:r>
      <w:r>
        <w:rPr>
          <w:rFonts w:ascii="Times New Roman" w:hAnsi="Times New Roman" w:cs="Times New Roman"/>
        </w:rPr>
        <w:t>ed</w:t>
      </w:r>
      <w:r>
        <w:rPr>
          <w:rFonts w:hint="eastAsia" w:ascii="Times New Roman" w:hAnsi="Times New Roman" w:cs="Times New Roman"/>
        </w:rPr>
        <w:t xml:space="preserve"> with the teacher or extend</w:t>
      </w:r>
      <w:r>
        <w:rPr>
          <w:rFonts w:ascii="Times New Roman" w:hAnsi="Times New Roman" w:cs="Times New Roman"/>
        </w:rPr>
        <w:t>ed</w:t>
      </w:r>
      <w:r>
        <w:rPr>
          <w:rFonts w:hint="eastAsia" w:ascii="Times New Roman" w:hAnsi="Times New Roman" w:cs="Times New Roman"/>
        </w:rPr>
        <w:t xml:space="preserve"> tasks.</w:t>
      </w:r>
    </w:p>
    <w:p w14:paraId="5B503817">
      <w:pPr>
        <w:spacing w:line="360" w:lineRule="auto"/>
        <w:jc w:val="center"/>
        <w:rPr>
          <w:rFonts w:ascii="Times New Roman" w:hAnsi="Times New Roman" w:eastAsia="PMingLiU" w:cs="Times New Roman"/>
          <w:szCs w:val="21"/>
          <w:shd w:val="clear" w:color="auto" w:fill="FFFFFF"/>
        </w:rPr>
      </w:pPr>
      <w:r>
        <w:rPr>
          <w:rFonts w:hint="eastAsia" w:ascii="Times New Roman" w:hAnsi="Times New Roman" w:eastAsia="PMingLiU" w:cs="Times New Roman"/>
          <w:szCs w:val="21"/>
          <w:shd w:val="clear" w:color="auto" w:fill="FFFFFF"/>
        </w:rPr>
        <w:drawing>
          <wp:inline distT="0" distB="0" distL="114300" distR="114300">
            <wp:extent cx="6047105" cy="3401695"/>
            <wp:effectExtent l="0" t="0" r="23495" b="1905"/>
            <wp:docPr id="23" name="图片 23" descr="行为转化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行为转化_01"/>
                    <pic:cNvPicPr>
                      <a:picLocks noChangeAspect="1"/>
                    </pic:cNvPicPr>
                  </pic:nvPicPr>
                  <pic:blipFill>
                    <a:blip r:embed="rId13"/>
                    <a:stretch>
                      <a:fillRect/>
                    </a:stretch>
                  </pic:blipFill>
                  <pic:spPr>
                    <a:xfrm>
                      <a:off x="0" y="0"/>
                      <a:ext cx="6047105" cy="3401695"/>
                    </a:xfrm>
                    <a:prstGeom prst="rect">
                      <a:avLst/>
                    </a:prstGeom>
                  </pic:spPr>
                </pic:pic>
              </a:graphicData>
            </a:graphic>
          </wp:inline>
        </w:drawing>
      </w:r>
    </w:p>
    <w:p w14:paraId="1739482B">
      <w:pPr>
        <w:spacing w:line="360" w:lineRule="auto"/>
        <w:jc w:val="center"/>
        <w:rPr>
          <w:rFonts w:ascii="Times New Roman" w:hAnsi="Times New Roman" w:eastAsia="PMingLiU" w:cs="Times New Roman"/>
          <w:szCs w:val="21"/>
          <w:shd w:val="clear" w:color="auto" w:fill="FFFFFF"/>
        </w:rPr>
      </w:pPr>
      <w:r>
        <w:rPr>
          <w:rFonts w:ascii="Times New Roman" w:hAnsi="Times New Roman" w:eastAsia="PMingLiU" w:cs="Times New Roman"/>
          <w:szCs w:val="21"/>
          <w:shd w:val="clear" w:color="auto" w:fill="FFFFFF"/>
        </w:rPr>
        <w:t xml:space="preserve">Fig. </w:t>
      </w:r>
      <w:r>
        <w:rPr>
          <w:rFonts w:hint="eastAsia" w:ascii="Times New Roman" w:hAnsi="Times New Roman" w:eastAsia="PMingLiU" w:cs="Times New Roman"/>
          <w:szCs w:val="21"/>
          <w:shd w:val="clear" w:color="auto" w:fill="FFFFFF"/>
        </w:rPr>
        <w:t>10</w:t>
      </w:r>
      <w:r>
        <w:rPr>
          <w:rFonts w:ascii="Times New Roman" w:hAnsi="Times New Roman" w:eastAsia="PMingLiU" w:cs="Times New Roman"/>
          <w:szCs w:val="21"/>
          <w:shd w:val="clear" w:color="auto" w:fill="FFFFFF"/>
        </w:rPr>
        <w:t xml:space="preserve"> The transition diagram of significant behavioral sequences of the experimental group</w:t>
      </w:r>
    </w:p>
    <w:p w14:paraId="664BAC99">
      <w:pPr>
        <w:spacing w:line="360" w:lineRule="auto"/>
        <w:jc w:val="both"/>
        <w:rPr>
          <w:rFonts w:ascii="Times New Roman" w:hAnsi="Times New Roman" w:eastAsia="PMingLiU" w:cs="Times New Roman"/>
          <w:szCs w:val="21"/>
          <w:shd w:val="clear" w:color="auto" w:fill="FFFFFF"/>
        </w:rPr>
      </w:pPr>
    </w:p>
    <w:p w14:paraId="762E214A">
      <w:pPr>
        <w:spacing w:line="360" w:lineRule="auto"/>
        <w:jc w:val="center"/>
        <w:rPr>
          <w:rFonts w:hint="eastAsia" w:ascii="Times New Roman" w:hAnsi="Times New Roman" w:eastAsia="PMingLiU" w:cs="Times New Roman"/>
          <w:szCs w:val="21"/>
          <w:shd w:val="clear" w:color="auto" w:fill="FFFFFF"/>
          <w:lang w:eastAsia="zh-CN"/>
        </w:rPr>
      </w:pPr>
      <w:r>
        <w:rPr>
          <w:rFonts w:hint="eastAsia" w:ascii="Times New Roman" w:hAnsi="Times New Roman" w:eastAsia="PMingLiU" w:cs="Times New Roman"/>
          <w:szCs w:val="21"/>
          <w:shd w:val="clear" w:color="auto" w:fill="FFFFFF"/>
          <w:lang w:eastAsia="zh-CN"/>
        </w:rPr>
        <w:drawing>
          <wp:inline distT="0" distB="0" distL="114300" distR="114300">
            <wp:extent cx="6047105" cy="3401695"/>
            <wp:effectExtent l="0" t="0" r="23495" b="1905"/>
            <wp:docPr id="3" name="图片 3" descr="行为转化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行为转化_02"/>
                    <pic:cNvPicPr>
                      <a:picLocks noChangeAspect="1"/>
                    </pic:cNvPicPr>
                  </pic:nvPicPr>
                  <pic:blipFill>
                    <a:blip r:embed="rId14"/>
                    <a:stretch>
                      <a:fillRect/>
                    </a:stretch>
                  </pic:blipFill>
                  <pic:spPr>
                    <a:xfrm>
                      <a:off x="0" y="0"/>
                      <a:ext cx="6047105" cy="3401695"/>
                    </a:xfrm>
                    <a:prstGeom prst="rect">
                      <a:avLst/>
                    </a:prstGeom>
                  </pic:spPr>
                </pic:pic>
              </a:graphicData>
            </a:graphic>
          </wp:inline>
        </w:drawing>
      </w:r>
    </w:p>
    <w:p w14:paraId="7A685A33">
      <w:pPr>
        <w:spacing w:line="360" w:lineRule="auto"/>
        <w:jc w:val="center"/>
        <w:rPr>
          <w:rFonts w:ascii="Times New Roman" w:hAnsi="Times New Roman" w:eastAsia="PMingLiU" w:cs="Times New Roman"/>
          <w:szCs w:val="21"/>
          <w:shd w:val="clear" w:color="auto" w:fill="FFFFFF"/>
        </w:rPr>
      </w:pPr>
      <w:r>
        <w:rPr>
          <w:rFonts w:ascii="Times New Roman" w:hAnsi="Times New Roman" w:eastAsia="PMingLiU" w:cs="Times New Roman"/>
          <w:szCs w:val="21"/>
          <w:shd w:val="clear" w:color="auto" w:fill="FFFFFF"/>
        </w:rPr>
        <w:t>Fig. 1</w:t>
      </w:r>
      <w:r>
        <w:rPr>
          <w:rFonts w:hint="eastAsia" w:ascii="Times New Roman" w:hAnsi="Times New Roman" w:eastAsia="PMingLiU" w:cs="Times New Roman"/>
          <w:szCs w:val="21"/>
          <w:shd w:val="clear" w:color="auto" w:fill="FFFFFF"/>
        </w:rPr>
        <w:t>1</w:t>
      </w:r>
      <w:r>
        <w:rPr>
          <w:rFonts w:ascii="Times New Roman" w:hAnsi="Times New Roman" w:eastAsia="PMingLiU" w:cs="Times New Roman"/>
          <w:szCs w:val="21"/>
          <w:shd w:val="clear" w:color="auto" w:fill="FFFFFF"/>
        </w:rPr>
        <w:t xml:space="preserve"> The transition diagram of significant behavioral sequences of the control group</w:t>
      </w:r>
    </w:p>
    <w:p w14:paraId="0D0114E2">
      <w:pPr>
        <w:widowControl/>
        <w:adjustRightInd w:val="0"/>
        <w:snapToGrid w:val="0"/>
        <w:spacing w:line="360" w:lineRule="auto"/>
        <w:jc w:val="both"/>
        <w:rPr>
          <w:rFonts w:ascii="Times New Roman" w:hAnsi="Times New Roman" w:eastAsia="標楷體" w:cs="Times New Roman"/>
          <w:kern w:val="0"/>
          <w:szCs w:val="24"/>
        </w:rPr>
      </w:pPr>
    </w:p>
    <w:p w14:paraId="5B00000D">
      <w:pPr>
        <w:pStyle w:val="20"/>
        <w:numPr>
          <w:ilvl w:val="0"/>
          <w:numId w:val="3"/>
        </w:numPr>
        <w:adjustRightInd w:val="0"/>
        <w:snapToGrid w:val="0"/>
        <w:spacing w:line="360" w:lineRule="auto"/>
        <w:ind w:leftChars="0"/>
        <w:jc w:val="both"/>
        <w:rPr>
          <w:rFonts w:ascii="Times New Roman" w:hAnsi="Times New Roman" w:cs="Times New Roman"/>
          <w:b/>
          <w:sz w:val="28"/>
          <w:lang w:eastAsia="zh-HK"/>
        </w:rPr>
      </w:pPr>
      <w:r>
        <w:rPr>
          <w:rFonts w:hint="eastAsia" w:ascii="Times New Roman" w:hAnsi="Times New Roman" w:cs="Times New Roman"/>
          <w:b/>
          <w:sz w:val="28"/>
          <w:lang w:eastAsia="zh-HK"/>
        </w:rPr>
        <w:t xml:space="preserve">Discussion and </w:t>
      </w:r>
      <w:r>
        <w:rPr>
          <w:rFonts w:ascii="Times New Roman" w:hAnsi="Times New Roman" w:cs="Times New Roman"/>
          <w:b/>
          <w:sz w:val="28"/>
          <w:lang w:eastAsia="zh-HK"/>
        </w:rPr>
        <w:t>C</w:t>
      </w:r>
      <w:r>
        <w:rPr>
          <w:rFonts w:hint="eastAsia" w:ascii="Times New Roman" w:hAnsi="Times New Roman" w:cs="Times New Roman"/>
          <w:b/>
          <w:sz w:val="28"/>
          <w:lang w:eastAsia="zh-HK"/>
        </w:rPr>
        <w:t>onclusions</w:t>
      </w:r>
    </w:p>
    <w:p w14:paraId="3BEF4654">
      <w:pPr>
        <w:widowControl/>
        <w:adjustRightInd w:val="0"/>
        <w:snapToGrid w:val="0"/>
        <w:spacing w:line="360" w:lineRule="auto"/>
        <w:ind w:firstLine="480" w:firstLineChars="200"/>
        <w:jc w:val="both"/>
        <w:rPr>
          <w:rFonts w:ascii="Times New Roman" w:hAnsi="Times New Roman" w:cs="Times New Roman"/>
        </w:rPr>
      </w:pPr>
      <w:r>
        <w:rPr>
          <w:rFonts w:hint="eastAsia" w:ascii="Times New Roman" w:hAnsi="Times New Roman" w:cs="Times New Roman"/>
        </w:rPr>
        <w:t>In light of previous literature indicating</w:t>
      </w:r>
      <w:r>
        <w:rPr>
          <w:rFonts w:ascii="Times New Roman" w:hAnsi="Times New Roman" w:cs="Times New Roman"/>
        </w:rPr>
        <w:t xml:space="preserve"> that</w:t>
      </w:r>
      <w:r>
        <w:rPr>
          <w:rFonts w:hint="eastAsia" w:ascii="Times New Roman" w:hAnsi="Times New Roman" w:cs="Times New Roman"/>
        </w:rPr>
        <w:t xml:space="preserve"> metaphors</w:t>
      </w:r>
      <w:r>
        <w:rPr>
          <w:rFonts w:ascii="Times New Roman" w:hAnsi="Times New Roman" w:cs="Times New Roman"/>
        </w:rPr>
        <w:t xml:space="preserve"> can be</w:t>
      </w:r>
      <w:r>
        <w:rPr>
          <w:rFonts w:hint="eastAsia" w:ascii="Times New Roman" w:hAnsi="Times New Roman" w:cs="Times New Roman"/>
        </w:rPr>
        <w:t xml:space="preserve"> effective pedagogical facilitators, a metaphor-based robot programming</w:t>
      </w:r>
      <w:r>
        <w:rPr>
          <w:rFonts w:ascii="Times New Roman" w:hAnsi="Times New Roman" w:cs="Times New Roman"/>
        </w:rPr>
        <w:t xml:space="preserve"> </w:t>
      </w:r>
      <w:r>
        <w:rPr>
          <w:rFonts w:hint="eastAsia" w:ascii="Times New Roman" w:hAnsi="Times New Roman" w:cs="Times New Roman"/>
        </w:rPr>
        <w:t xml:space="preserve">approach was proposed to </w:t>
      </w:r>
      <w:r>
        <w:rPr>
          <w:rFonts w:ascii="Times New Roman" w:hAnsi="Times New Roman" w:cs="Times New Roman"/>
        </w:rPr>
        <w:t>cultivate young children’s CT</w:t>
      </w:r>
      <w:r>
        <w:rPr>
          <w:rFonts w:hint="eastAsia" w:ascii="Times New Roman" w:hAnsi="Times New Roman" w:cs="Times New Roman"/>
        </w:rPr>
        <w:t xml:space="preserve">. </w:t>
      </w:r>
      <w:r>
        <w:rPr>
          <w:rFonts w:ascii="Times New Roman" w:hAnsi="Times New Roman" w:cs="Times New Roman"/>
        </w:rPr>
        <w:t>A</w:t>
      </w:r>
      <w:r>
        <w:rPr>
          <w:rFonts w:hint="eastAsia" w:ascii="Times New Roman" w:hAnsi="Times New Roman" w:cs="Times New Roman"/>
        </w:rPr>
        <w:t xml:space="preserve"> study </w:t>
      </w:r>
      <w:r>
        <w:rPr>
          <w:rFonts w:ascii="Times New Roman" w:hAnsi="Times New Roman" w:cs="Times New Roman"/>
        </w:rPr>
        <w:t>using</w:t>
      </w:r>
      <w:r>
        <w:rPr>
          <w:rFonts w:hint="eastAsia" w:ascii="Times New Roman" w:hAnsi="Times New Roman" w:cs="Times New Roman"/>
        </w:rPr>
        <w:t xml:space="preserve"> a quasi-experiment</w:t>
      </w:r>
      <w:r>
        <w:rPr>
          <w:rFonts w:ascii="Times New Roman" w:hAnsi="Times New Roman" w:cs="Times New Roman"/>
        </w:rPr>
        <w:t>al</w:t>
      </w:r>
      <w:r>
        <w:rPr>
          <w:rFonts w:hint="eastAsia" w:ascii="Times New Roman" w:hAnsi="Times New Roman" w:cs="Times New Roman"/>
        </w:rPr>
        <w:t xml:space="preserve"> design</w:t>
      </w:r>
      <w:r>
        <w:rPr>
          <w:rFonts w:ascii="Times New Roman" w:hAnsi="Times New Roman" w:cs="Times New Roman"/>
        </w:rPr>
        <w:t xml:space="preserve"> was conducted</w:t>
      </w:r>
      <w:r>
        <w:rPr>
          <w:rFonts w:hint="eastAsia" w:ascii="Times New Roman" w:hAnsi="Times New Roman" w:cs="Times New Roman"/>
        </w:rPr>
        <w:t xml:space="preserve"> to explore </w:t>
      </w:r>
      <w:r>
        <w:rPr>
          <w:rFonts w:ascii="Times New Roman" w:hAnsi="Times New Roman" w:cs="Times New Roman"/>
        </w:rPr>
        <w:t>the</w:t>
      </w:r>
      <w:r>
        <w:rPr>
          <w:rFonts w:hint="eastAsia" w:ascii="Times New Roman" w:hAnsi="Times New Roman" w:cs="Times New Roman"/>
        </w:rPr>
        <w:t xml:space="preserve"> impact </w:t>
      </w:r>
      <w:r>
        <w:rPr>
          <w:rFonts w:ascii="Times New Roman" w:hAnsi="Times New Roman" w:cs="Times New Roman"/>
        </w:rPr>
        <w:t xml:space="preserve">of the proposed MRP approach </w:t>
      </w:r>
      <w:r>
        <w:rPr>
          <w:rFonts w:hint="eastAsia" w:ascii="Times New Roman" w:hAnsi="Times New Roman" w:cs="Times New Roman"/>
        </w:rPr>
        <w:t>on young children</w:t>
      </w:r>
      <w:r>
        <w:rPr>
          <w:rFonts w:ascii="Times New Roman" w:hAnsi="Times New Roman" w:cs="Times New Roman"/>
        </w:rPr>
        <w:t>’</w:t>
      </w:r>
      <w:r>
        <w:rPr>
          <w:rFonts w:hint="eastAsia" w:ascii="Times New Roman" w:hAnsi="Times New Roman" w:cs="Times New Roman"/>
        </w:rPr>
        <w:t>s CT and behavioral patterns. A total of 118 children aged 5-6</w:t>
      </w:r>
      <w:r>
        <w:rPr>
          <w:rFonts w:ascii="Times New Roman" w:hAnsi="Times New Roman" w:cs="Times New Roman"/>
        </w:rPr>
        <w:t xml:space="preserve"> years old</w:t>
      </w:r>
      <w:r>
        <w:rPr>
          <w:rFonts w:hint="eastAsia" w:ascii="Times New Roman" w:hAnsi="Times New Roman" w:cs="Times New Roman"/>
        </w:rPr>
        <w:t xml:space="preserve"> participated in a </w:t>
      </w:r>
      <w:r>
        <w:rPr>
          <w:rFonts w:ascii="Times New Roman" w:hAnsi="Times New Roman" w:cs="Times New Roman"/>
        </w:rPr>
        <w:t>10</w:t>
      </w:r>
      <w:r>
        <w:rPr>
          <w:rFonts w:hint="eastAsia" w:ascii="Times New Roman" w:hAnsi="Times New Roman" w:cs="Times New Roman"/>
        </w:rPr>
        <w:t xml:space="preserve">-week </w:t>
      </w:r>
      <w:r>
        <w:rPr>
          <w:rFonts w:ascii="Times New Roman" w:hAnsi="Times New Roman" w:cs="Times New Roman"/>
        </w:rPr>
        <w:t>intervention</w:t>
      </w:r>
      <w:r>
        <w:rPr>
          <w:rFonts w:hint="eastAsia" w:ascii="Times New Roman" w:hAnsi="Times New Roman" w:cs="Times New Roman"/>
        </w:rPr>
        <w:t xml:space="preserve"> via one of the two conditions: the experimental group adopted the MRP approach</w:t>
      </w:r>
      <w:r>
        <w:rPr>
          <w:rFonts w:hint="eastAsia" w:ascii="Times New Roman" w:hAnsi="Times New Roman" w:cs="Times New Roman"/>
          <w:lang w:eastAsia="zh-CN"/>
        </w:rPr>
        <w:t>,</w:t>
      </w:r>
      <w:r>
        <w:rPr>
          <w:rFonts w:ascii="Times New Roman" w:hAnsi="Times New Roman" w:cs="Times New Roman"/>
        </w:rPr>
        <w:t xml:space="preserve"> </w:t>
      </w:r>
      <w:r>
        <w:rPr>
          <w:rFonts w:hint="eastAsia" w:ascii="Times New Roman" w:hAnsi="Times New Roman" w:cs="Times New Roman"/>
        </w:rPr>
        <w:t xml:space="preserve">while the control group used the CRP approach. The results showed that children who participated in the MRP group outperformed </w:t>
      </w:r>
      <w:r>
        <w:rPr>
          <w:rFonts w:ascii="Times New Roman" w:hAnsi="Times New Roman" w:cs="Times New Roman"/>
        </w:rPr>
        <w:t>those</w:t>
      </w:r>
      <w:r>
        <w:rPr>
          <w:rFonts w:hint="eastAsia" w:ascii="Times New Roman" w:hAnsi="Times New Roman" w:cs="Times New Roman"/>
        </w:rPr>
        <w:t xml:space="preserve"> in the </w:t>
      </w:r>
      <w:r>
        <w:rPr>
          <w:rFonts w:ascii="Times New Roman" w:hAnsi="Times New Roman" w:cs="Times New Roman"/>
        </w:rPr>
        <w:t>C</w:t>
      </w:r>
      <w:r>
        <w:rPr>
          <w:rFonts w:hint="eastAsia" w:ascii="Times New Roman" w:hAnsi="Times New Roman" w:cs="Times New Roman"/>
        </w:rPr>
        <w:t xml:space="preserve">RP group in CT. In addition, behavioral analysis indicated </w:t>
      </w:r>
      <w:r>
        <w:rPr>
          <w:rFonts w:ascii="Times New Roman" w:hAnsi="Times New Roman" w:cs="Times New Roman"/>
        </w:rPr>
        <w:t xml:space="preserve">that </w:t>
      </w:r>
      <w:r>
        <w:rPr>
          <w:rFonts w:hint="eastAsia" w:ascii="Times New Roman" w:hAnsi="Times New Roman" w:cs="Times New Roman"/>
        </w:rPr>
        <w:t xml:space="preserve">the proposed </w:t>
      </w:r>
      <w:r>
        <w:rPr>
          <w:rFonts w:ascii="Times New Roman" w:hAnsi="Times New Roman" w:cs="Times New Roman"/>
        </w:rPr>
        <w:t>MRP</w:t>
      </w:r>
      <w:r>
        <w:rPr>
          <w:rFonts w:hint="eastAsia" w:ascii="Times New Roman" w:hAnsi="Times New Roman" w:cs="Times New Roman"/>
        </w:rPr>
        <w:t xml:space="preserve"> approach could facilitate children</w:t>
      </w:r>
      <w:r>
        <w:rPr>
          <w:rFonts w:ascii="Times New Roman" w:hAnsi="Times New Roman" w:cs="Times New Roman"/>
        </w:rPr>
        <w:t>’</w:t>
      </w:r>
      <w:r>
        <w:rPr>
          <w:rFonts w:hint="eastAsia" w:ascii="Times New Roman" w:hAnsi="Times New Roman" w:cs="Times New Roman"/>
        </w:rPr>
        <w:t xml:space="preserve">s superior learning performance and more positive behaviors, so as to help them achieve </w:t>
      </w:r>
      <w:r>
        <w:rPr>
          <w:rFonts w:ascii="Times New Roman" w:hAnsi="Times New Roman" w:cs="Times New Roman"/>
        </w:rPr>
        <w:t xml:space="preserve">the </w:t>
      </w:r>
      <w:r>
        <w:rPr>
          <w:rFonts w:hint="eastAsia" w:ascii="Times New Roman" w:hAnsi="Times New Roman" w:cs="Times New Roman"/>
        </w:rPr>
        <w:t>learning objectives.</w:t>
      </w:r>
    </w:p>
    <w:p w14:paraId="026667D4">
      <w:pPr>
        <w:widowControl/>
        <w:adjustRightInd w:val="0"/>
        <w:snapToGrid w:val="0"/>
        <w:spacing w:line="360" w:lineRule="auto"/>
        <w:ind w:firstLine="480" w:firstLineChars="200"/>
        <w:jc w:val="both"/>
        <w:rPr>
          <w:rFonts w:ascii="Times New Roman" w:hAnsi="Times New Roman" w:cs="Times New Roman"/>
          <w:color w:val="C00000"/>
        </w:rPr>
      </w:pPr>
      <w:r>
        <w:rPr>
          <w:rFonts w:hint="eastAsia" w:ascii="Times New Roman" w:hAnsi="Times New Roman" w:cs="Times New Roman"/>
        </w:rPr>
        <w:t>In response to research question one</w:t>
      </w:r>
      <w:r>
        <w:rPr>
          <w:rFonts w:ascii="Times New Roman" w:hAnsi="Times New Roman" w:cs="Times New Roman"/>
        </w:rPr>
        <w:t>,</w:t>
      </w:r>
      <w:r>
        <w:rPr>
          <w:rFonts w:hint="eastAsia" w:ascii="Times New Roman" w:hAnsi="Times New Roman" w:cs="Times New Roman"/>
        </w:rPr>
        <w:t xml:space="preserve"> </w:t>
      </w:r>
      <w:r>
        <w:rPr>
          <w:rFonts w:ascii="Times New Roman" w:hAnsi="Times New Roman" w:cs="Times New Roman"/>
        </w:rPr>
        <w:t>the experimental group</w:t>
      </w:r>
      <w:r>
        <w:rPr>
          <w:rFonts w:hint="eastAsia" w:ascii="Times New Roman" w:hAnsi="Times New Roman" w:cs="Times New Roman"/>
        </w:rPr>
        <w:t xml:space="preserve"> outperformed the </w:t>
      </w:r>
      <w:r>
        <w:rPr>
          <w:rFonts w:ascii="Times New Roman" w:hAnsi="Times New Roman" w:cs="Times New Roman"/>
        </w:rPr>
        <w:t>control</w:t>
      </w:r>
      <w:r>
        <w:rPr>
          <w:rFonts w:hint="eastAsia" w:ascii="Times New Roman" w:hAnsi="Times New Roman" w:cs="Times New Roman"/>
        </w:rPr>
        <w:t xml:space="preserve"> group</w:t>
      </w:r>
      <w:r>
        <w:rPr>
          <w:rFonts w:ascii="Times New Roman" w:hAnsi="Times New Roman" w:cs="Times New Roman"/>
        </w:rPr>
        <w:t xml:space="preserve"> </w:t>
      </w:r>
      <w:r>
        <w:rPr>
          <w:rFonts w:hint="eastAsia" w:ascii="Times New Roman" w:hAnsi="Times New Roman" w:cs="Times New Roman"/>
        </w:rPr>
        <w:t xml:space="preserve">in </w:t>
      </w:r>
      <w:r>
        <w:rPr>
          <w:rFonts w:hint="eastAsia" w:ascii="Times New Roman" w:hAnsi="Times New Roman" w:cs="Times New Roman"/>
          <w:lang w:eastAsia="zh-CN"/>
        </w:rPr>
        <w:t xml:space="preserve">overall </w:t>
      </w:r>
      <w:r>
        <w:rPr>
          <w:rFonts w:hint="eastAsia" w:ascii="Times New Roman" w:hAnsi="Times New Roman" w:cs="Times New Roman"/>
        </w:rPr>
        <w:t>CT</w:t>
      </w:r>
      <w:r>
        <w:rPr>
          <w:rFonts w:ascii="Times New Roman" w:hAnsi="Times New Roman" w:cs="Times New Roman"/>
        </w:rPr>
        <w:t>, suggesting</w:t>
      </w:r>
      <w:r>
        <w:rPr>
          <w:rFonts w:hint="eastAsia" w:ascii="Times New Roman" w:hAnsi="Times New Roman" w:cs="Times New Roman"/>
        </w:rPr>
        <w:t xml:space="preserve"> </w:t>
      </w:r>
      <w:r>
        <w:rPr>
          <w:rFonts w:ascii="Times New Roman" w:hAnsi="Times New Roman" w:cs="Times New Roman"/>
        </w:rPr>
        <w:t>that the proposed MRP approach could better enhance young children’s</w:t>
      </w:r>
      <w:r>
        <w:rPr>
          <w:rFonts w:hint="eastAsia" w:ascii="Times New Roman" w:hAnsi="Times New Roman" w:cs="Times New Roman"/>
          <w:lang w:eastAsia="zh-CN"/>
        </w:rPr>
        <w:t xml:space="preserve"> </w:t>
      </w:r>
      <w:r>
        <w:rPr>
          <w:rFonts w:ascii="Times New Roman" w:hAnsi="Times New Roman" w:cs="Times New Roman"/>
        </w:rPr>
        <w:t xml:space="preserve">CT than the CRP approach. </w:t>
      </w:r>
      <w:r>
        <w:rPr>
          <w:rFonts w:ascii="Times New Roman Regular" w:hAnsi="Times New Roman Regular" w:cs="Times New Roman Regular"/>
          <w:color w:val="C00000"/>
        </w:rPr>
        <w:t xml:space="preserve">Further, the results showed that the experimental group outperformed the control group in </w:t>
      </w:r>
      <w:r>
        <w:rPr>
          <w:rFonts w:ascii="Times New Roman Regular" w:hAnsi="Times New Roman Regular" w:cs="Times New Roman Regular"/>
          <w:color w:val="C00000"/>
          <w:lang w:eastAsia="zh-CN"/>
        </w:rPr>
        <w:t>a</w:t>
      </w:r>
      <w:r>
        <w:rPr>
          <w:rFonts w:ascii="Times New Roman Regular" w:hAnsi="Times New Roman Regular" w:cs="Times New Roman Regular"/>
          <w:color w:val="C00000"/>
        </w:rPr>
        <w:t>lgorithm</w:t>
      </w:r>
      <w:r>
        <w:rPr>
          <w:rFonts w:hint="eastAsia" w:ascii="Times New Roman Regular" w:hAnsi="Times New Roman Regular" w:cs="Times New Roman Regular"/>
          <w:color w:val="C00000"/>
          <w:lang w:eastAsia="zh-CN"/>
        </w:rPr>
        <w:t>/sequence</w:t>
      </w:r>
      <w:r>
        <w:rPr>
          <w:rFonts w:ascii="Times New Roman Regular" w:hAnsi="Times New Roman Regular" w:cs="Times New Roman Regular"/>
          <w:color w:val="C00000"/>
        </w:rPr>
        <w:t xml:space="preserve">, representation, control structure, and debugging, indicating that the MRP approach could be more conducive to facilitating children’s learning in </w:t>
      </w:r>
      <w:r>
        <w:rPr>
          <w:rFonts w:ascii="Times New Roman Regular" w:hAnsi="Times New Roman Regular" w:cs="Times New Roman Regular"/>
          <w:color w:val="C00000"/>
          <w:lang w:eastAsia="zh-CN"/>
        </w:rPr>
        <w:t>a</w:t>
      </w:r>
      <w:r>
        <w:rPr>
          <w:rFonts w:ascii="Times New Roman Regular" w:hAnsi="Times New Roman Regular" w:cs="Times New Roman Regular"/>
          <w:color w:val="C00000"/>
        </w:rPr>
        <w:t>lgorithm</w:t>
      </w:r>
      <w:r>
        <w:rPr>
          <w:rFonts w:hint="eastAsia" w:ascii="Times New Roman Regular" w:hAnsi="Times New Roman Regular" w:cs="Times New Roman Regular"/>
          <w:color w:val="C00000"/>
          <w:lang w:eastAsia="zh-CN"/>
        </w:rPr>
        <w:t>/sequence</w:t>
      </w:r>
      <w:r>
        <w:rPr>
          <w:rFonts w:ascii="Times New Roman Regular" w:hAnsi="Times New Roman Regular" w:cs="Times New Roman Regular"/>
          <w:color w:val="C00000"/>
        </w:rPr>
        <w:t>, representation, control structure</w:t>
      </w:r>
      <w:r>
        <w:rPr>
          <w:rFonts w:hint="eastAsia" w:ascii="Times New Roman Regular" w:hAnsi="Times New Roman Regular" w:cs="Times New Roman Regular"/>
          <w:color w:val="C00000"/>
          <w:lang w:eastAsia="zh-CN"/>
        </w:rPr>
        <w:t xml:space="preserve"> (covering loops)</w:t>
      </w:r>
      <w:r>
        <w:rPr>
          <w:rFonts w:ascii="Times New Roman Regular" w:hAnsi="Times New Roman Regular" w:cs="Times New Roman Regular"/>
          <w:color w:val="C00000"/>
        </w:rPr>
        <w:t>, and debugging than the CRP approach.</w:t>
      </w:r>
      <w:r>
        <w:rPr>
          <w:rFonts w:ascii="Times New Roman Regular" w:hAnsi="Times New Roman Regular" w:cs="Times New Roman Regular"/>
          <w:color w:val="C00000"/>
          <w:lang w:eastAsia="zh-CN"/>
        </w:rPr>
        <w:t xml:space="preserve"> </w:t>
      </w:r>
      <w:r>
        <w:rPr>
          <w:rFonts w:ascii="Times New Roman" w:hAnsi="Times New Roman" w:cs="Times New Roman"/>
        </w:rPr>
        <w:t>T</w:t>
      </w:r>
      <w:r>
        <w:rPr>
          <w:rFonts w:hint="eastAsia" w:ascii="Times New Roman" w:hAnsi="Times New Roman" w:cs="Times New Roman"/>
        </w:rPr>
        <w:t>h</w:t>
      </w:r>
      <w:r>
        <w:rPr>
          <w:rFonts w:ascii="Times New Roman" w:hAnsi="Times New Roman" w:cs="Times New Roman"/>
        </w:rPr>
        <w:t xml:space="preserve">is finding </w:t>
      </w:r>
      <w:r>
        <w:rPr>
          <w:rFonts w:hint="eastAsia" w:ascii="Times New Roman" w:hAnsi="Times New Roman" w:cs="Times New Roman"/>
        </w:rPr>
        <w:t>align</w:t>
      </w:r>
      <w:r>
        <w:rPr>
          <w:rFonts w:ascii="Times New Roman" w:hAnsi="Times New Roman" w:cs="Times New Roman"/>
        </w:rPr>
        <w:t>ed</w:t>
      </w:r>
      <w:r>
        <w:rPr>
          <w:rFonts w:hint="eastAsia" w:ascii="Times New Roman" w:hAnsi="Times New Roman" w:cs="Times New Roman"/>
        </w:rPr>
        <w:t xml:space="preserve"> with the results of Milner</w:t>
      </w:r>
      <w:r>
        <w:rPr>
          <w:rFonts w:ascii="Times New Roman" w:hAnsi="Times New Roman" w:cs="Times New Roman"/>
        </w:rPr>
        <w:t>’</w:t>
      </w:r>
      <w:r>
        <w:rPr>
          <w:rFonts w:hint="eastAsia" w:ascii="Times New Roman" w:hAnsi="Times New Roman" w:cs="Times New Roman"/>
        </w:rPr>
        <w:t xml:space="preserve">s (2010) and </w:t>
      </w:r>
      <w:r>
        <w:rPr>
          <w:rFonts w:ascii="Times New Roman" w:hAnsi="Times New Roman" w:cs="Times New Roman"/>
        </w:rPr>
        <w:t>P</w:t>
      </w:r>
      <w:r>
        <w:rPr>
          <w:rFonts w:hint="eastAsia" w:ascii="Times New Roman" w:hAnsi="Times New Roman" w:cs="Times New Roman"/>
        </w:rPr>
        <w:t>é</w:t>
      </w:r>
      <w:r>
        <w:rPr>
          <w:rFonts w:ascii="Times New Roman" w:hAnsi="Times New Roman" w:cs="Times New Roman"/>
        </w:rPr>
        <w:t>rez-Mar</w:t>
      </w:r>
      <w:r>
        <w:rPr>
          <w:rFonts w:hint="eastAsia" w:ascii="Times New Roman" w:hAnsi="Times New Roman" w:cs="Times New Roman"/>
        </w:rPr>
        <w:t>í</w:t>
      </w:r>
      <w:r>
        <w:rPr>
          <w:rFonts w:ascii="Times New Roman" w:hAnsi="Times New Roman" w:cs="Times New Roman"/>
        </w:rPr>
        <w:t>n</w:t>
      </w:r>
      <w:r>
        <w:rPr>
          <w:rFonts w:hint="eastAsia" w:ascii="Times New Roman" w:hAnsi="Times New Roman" w:cs="Times New Roman"/>
        </w:rPr>
        <w:t xml:space="preserve"> et al.</w:t>
      </w:r>
      <w:r>
        <w:rPr>
          <w:rFonts w:ascii="Times New Roman" w:hAnsi="Times New Roman" w:cs="Times New Roman"/>
        </w:rPr>
        <w:t>’</w:t>
      </w:r>
      <w:r>
        <w:rPr>
          <w:rFonts w:hint="eastAsia" w:ascii="Times New Roman" w:hAnsi="Times New Roman" w:cs="Times New Roman"/>
        </w:rPr>
        <w:t>s (</w:t>
      </w:r>
      <w:r>
        <w:rPr>
          <w:rFonts w:ascii="Times New Roman" w:hAnsi="Times New Roman" w:cs="Times New Roman"/>
        </w:rPr>
        <w:t xml:space="preserve">2018, </w:t>
      </w:r>
      <w:r>
        <w:rPr>
          <w:rFonts w:hint="eastAsia" w:ascii="Times New Roman" w:hAnsi="Times New Roman" w:cs="Times New Roman"/>
        </w:rPr>
        <w:t>2020) research that learners</w:t>
      </w:r>
      <w:r>
        <w:rPr>
          <w:rFonts w:ascii="Times New Roman" w:hAnsi="Times New Roman" w:cs="Times New Roman"/>
        </w:rPr>
        <w:t>’</w:t>
      </w:r>
      <w:r>
        <w:rPr>
          <w:rFonts w:hint="eastAsia" w:ascii="Times New Roman" w:hAnsi="Times New Roman" w:cs="Times New Roman"/>
        </w:rPr>
        <w:t xml:space="preserve"> CT can be enhanced by providing metaphors in programming learning.</w:t>
      </w:r>
      <w:r>
        <w:rPr>
          <w:rFonts w:ascii="Times New Roman" w:hAnsi="Times New Roman" w:cs="Times New Roman"/>
        </w:rPr>
        <w:t xml:space="preserve"> </w:t>
      </w:r>
      <w:r>
        <w:rPr>
          <w:rFonts w:hint="eastAsia" w:ascii="Times New Roman" w:hAnsi="Times New Roman" w:cs="Times New Roman"/>
          <w:color w:val="C00000"/>
        </w:rPr>
        <w:t>Theoretically, metaphors involve mapping between relatively abstract concepts (target domains) with simpler or clearer concepts that are rooted in life experience (source domains) (Lakoff &amp; Johnson</w:t>
      </w:r>
      <w:r>
        <w:rPr>
          <w:rFonts w:hint="eastAsia" w:ascii="Times New Roman" w:hAnsi="Times New Roman" w:cs="Times New Roman"/>
          <w:color w:val="C00000"/>
          <w:lang w:eastAsia="zh-CN"/>
        </w:rPr>
        <w:t>,</w:t>
      </w:r>
      <w:r>
        <w:rPr>
          <w:rFonts w:hint="eastAsia" w:ascii="Times New Roman" w:hAnsi="Times New Roman" w:cs="Times New Roman"/>
          <w:color w:val="C00000"/>
        </w:rPr>
        <w:t xml:space="preserve"> 1980; Reinhardt, 2020</w:t>
      </w:r>
      <w:r>
        <w:rPr>
          <w:rFonts w:ascii="Times New Roman" w:hAnsi="Times New Roman" w:cs="Times New Roman"/>
          <w:color w:val="C00000"/>
        </w:rPr>
        <w:t xml:space="preserve">; </w:t>
      </w:r>
      <w:r>
        <w:rPr>
          <w:rFonts w:hint="eastAsia" w:ascii="Times New Roman" w:hAnsi="Times New Roman" w:cs="Times New Roman"/>
          <w:color w:val="C00000"/>
        </w:rPr>
        <w:t>Thomas &amp; McRobbie, 2001). They are helpful instructional tools that aim to build linkages between abstract concepts and concrete content that closely connect to learners</w:t>
      </w:r>
      <w:r>
        <w:rPr>
          <w:rFonts w:ascii="Times New Roman" w:hAnsi="Times New Roman" w:cs="Times New Roman"/>
          <w:color w:val="C00000"/>
        </w:rPr>
        <w:t>’</w:t>
      </w:r>
      <w:r>
        <w:rPr>
          <w:rFonts w:hint="eastAsia" w:ascii="Times New Roman" w:hAnsi="Times New Roman" w:cs="Times New Roman"/>
          <w:color w:val="C00000"/>
        </w:rPr>
        <w:t xml:space="preserve"> existing knowledge and life experiences, which can help learners</w:t>
      </w:r>
      <w:r>
        <w:rPr>
          <w:rFonts w:ascii="Times New Roman" w:hAnsi="Times New Roman" w:cs="Times New Roman"/>
          <w:color w:val="C00000"/>
        </w:rPr>
        <w:t>’</w:t>
      </w:r>
      <w:r>
        <w:rPr>
          <w:rFonts w:hint="eastAsia" w:ascii="Times New Roman" w:hAnsi="Times New Roman" w:cs="Times New Roman"/>
          <w:color w:val="C00000"/>
        </w:rPr>
        <w:t xml:space="preserve"> learning transfer from well-known concepts to unknown concepts and better facilitate learners</w:t>
      </w:r>
      <w:r>
        <w:rPr>
          <w:rFonts w:ascii="Times New Roman" w:hAnsi="Times New Roman" w:cs="Times New Roman"/>
          <w:color w:val="C00000"/>
        </w:rPr>
        <w:t>’</w:t>
      </w:r>
      <w:r>
        <w:rPr>
          <w:rFonts w:hint="eastAsia" w:ascii="Times New Roman" w:hAnsi="Times New Roman" w:cs="Times New Roman"/>
          <w:color w:val="C00000"/>
        </w:rPr>
        <w:t xml:space="preserve"> learning achievement and learning performance</w:t>
      </w:r>
      <w:r>
        <w:rPr>
          <w:rFonts w:ascii="Times New Roman" w:hAnsi="Times New Roman" w:cs="Times New Roman"/>
          <w:color w:val="C00000"/>
        </w:rPr>
        <w:t xml:space="preserve"> (P</w:t>
      </w:r>
      <w:r>
        <w:rPr>
          <w:rFonts w:hint="eastAsia" w:ascii="Times New Roman" w:hAnsi="Times New Roman" w:cs="Times New Roman"/>
          <w:color w:val="C00000"/>
        </w:rPr>
        <w:t>é</w:t>
      </w:r>
      <w:r>
        <w:rPr>
          <w:rFonts w:ascii="Times New Roman" w:hAnsi="Times New Roman" w:cs="Times New Roman"/>
          <w:color w:val="C00000"/>
        </w:rPr>
        <w:t>rez-Mar</w:t>
      </w:r>
      <w:r>
        <w:rPr>
          <w:rFonts w:hint="eastAsia" w:ascii="Times New Roman" w:hAnsi="Times New Roman" w:cs="Times New Roman"/>
          <w:color w:val="C00000"/>
        </w:rPr>
        <w:t>í</w:t>
      </w:r>
      <w:r>
        <w:rPr>
          <w:rFonts w:ascii="Times New Roman" w:hAnsi="Times New Roman" w:cs="Times New Roman"/>
          <w:color w:val="C00000"/>
        </w:rPr>
        <w:t>n</w:t>
      </w:r>
      <w:r>
        <w:rPr>
          <w:rFonts w:hint="eastAsia" w:ascii="Times New Roman" w:hAnsi="Times New Roman" w:cs="Times New Roman"/>
          <w:color w:val="C00000"/>
        </w:rPr>
        <w:t xml:space="preserve"> et al.</w:t>
      </w:r>
      <w:r>
        <w:rPr>
          <w:rFonts w:ascii="Times New Roman" w:hAnsi="Times New Roman" w:cs="Times New Roman"/>
          <w:color w:val="C00000"/>
        </w:rPr>
        <w:t xml:space="preserve">, 2018, </w:t>
      </w:r>
      <w:r>
        <w:rPr>
          <w:rFonts w:hint="eastAsia" w:ascii="Times New Roman" w:hAnsi="Times New Roman" w:cs="Times New Roman"/>
          <w:color w:val="C00000"/>
        </w:rPr>
        <w:t xml:space="preserve">2020; </w:t>
      </w:r>
      <w:r>
        <w:rPr>
          <w:rFonts w:ascii="Times New Roman" w:hAnsi="Times New Roman" w:cs="Times New Roman"/>
          <w:color w:val="C00000"/>
        </w:rPr>
        <w:t>Reinhardt, 2020</w:t>
      </w:r>
      <w:r>
        <w:rPr>
          <w:rFonts w:hint="eastAsia" w:ascii="Times New Roman" w:hAnsi="Times New Roman" w:cs="Times New Roman"/>
          <w:color w:val="C00000"/>
        </w:rPr>
        <w:t xml:space="preserve">; </w:t>
      </w:r>
      <w:r>
        <w:rPr>
          <w:rFonts w:ascii="Times New Roman" w:hAnsi="Times New Roman" w:cs="Times New Roman"/>
          <w:color w:val="C00000"/>
        </w:rPr>
        <w:t>Yee, 2017)</w:t>
      </w:r>
      <w:r>
        <w:rPr>
          <w:rFonts w:hint="eastAsia" w:ascii="Times New Roman" w:hAnsi="Times New Roman" w:cs="Times New Roman"/>
          <w:color w:val="C00000"/>
        </w:rPr>
        <w:t>.</w:t>
      </w:r>
      <w:r>
        <w:rPr>
          <w:rFonts w:hint="eastAsia" w:ascii="Times New Roman" w:hAnsi="Times New Roman" w:cs="Times New Roman"/>
          <w:color w:val="C00000"/>
          <w:lang w:eastAsia="zh-CN"/>
        </w:rPr>
        <w:t xml:space="preserve"> </w:t>
      </w:r>
      <w:r>
        <w:rPr>
          <w:rFonts w:ascii="Times New Roman" w:hAnsi="Times New Roman" w:cs="Times New Roman"/>
          <w:color w:val="C00000"/>
          <w:lang w:eastAsia="zh-CN"/>
        </w:rPr>
        <w:t>In t</w:t>
      </w:r>
      <w:r>
        <w:rPr>
          <w:rFonts w:hint="eastAsia" w:ascii="Times New Roman" w:hAnsi="Times New Roman" w:cs="Times New Roman"/>
          <w:color w:val="C00000"/>
        </w:rPr>
        <w:t>his study</w:t>
      </w:r>
      <w:r>
        <w:rPr>
          <w:rFonts w:ascii="Times New Roman" w:hAnsi="Times New Roman" w:cs="Times New Roman"/>
          <w:color w:val="C00000"/>
        </w:rPr>
        <w:t>, we</w:t>
      </w:r>
      <w:r>
        <w:rPr>
          <w:rFonts w:hint="eastAsia" w:ascii="Times New Roman" w:hAnsi="Times New Roman" w:cs="Times New Roman"/>
          <w:color w:val="C00000"/>
        </w:rPr>
        <w:t xml:space="preserve"> designed </w:t>
      </w:r>
      <w:r>
        <w:rPr>
          <w:rFonts w:ascii="Times New Roman" w:hAnsi="Times New Roman" w:cs="Times New Roman"/>
          <w:color w:val="C00000"/>
        </w:rPr>
        <w:t xml:space="preserve">learner-centered </w:t>
      </w:r>
      <w:r>
        <w:rPr>
          <w:rFonts w:hint="eastAsia" w:ascii="Times New Roman" w:hAnsi="Times New Roman" w:cs="Times New Roman"/>
          <w:color w:val="C00000"/>
        </w:rPr>
        <w:t>metaphors</w:t>
      </w:r>
      <w:r>
        <w:rPr>
          <w:rFonts w:ascii="Times New Roman" w:hAnsi="Times New Roman" w:cs="Times New Roman"/>
          <w:color w:val="C00000"/>
        </w:rPr>
        <w:t>,</w:t>
      </w:r>
      <w:r>
        <w:rPr>
          <w:rFonts w:hint="eastAsia" w:ascii="Times New Roman" w:hAnsi="Times New Roman" w:cs="Times New Roman"/>
          <w:color w:val="C00000"/>
        </w:rPr>
        <w:t xml:space="preserve"> such as the steps of </w:t>
      </w:r>
      <w:r>
        <w:rPr>
          <w:rFonts w:ascii="Times New Roman" w:hAnsi="Times New Roman" w:cs="Times New Roman"/>
          <w:color w:val="C00000"/>
        </w:rPr>
        <w:t>washing</w:t>
      </w:r>
      <w:r>
        <w:rPr>
          <w:rFonts w:hint="eastAsia" w:ascii="Times New Roman" w:hAnsi="Times New Roman" w:cs="Times New Roman"/>
          <w:color w:val="C00000"/>
        </w:rPr>
        <w:t xml:space="preserve"> c</w:t>
      </w:r>
      <w:r>
        <w:rPr>
          <w:rFonts w:ascii="Times New Roman" w:hAnsi="Times New Roman" w:cs="Times New Roman"/>
          <w:color w:val="C00000"/>
        </w:rPr>
        <w:t>lothes</w:t>
      </w:r>
      <w:r>
        <w:rPr>
          <w:rFonts w:hint="eastAsia" w:ascii="Times New Roman" w:hAnsi="Times New Roman" w:cs="Times New Roman"/>
          <w:color w:val="C00000"/>
        </w:rPr>
        <w:t>, carousel</w:t>
      </w:r>
      <w:r>
        <w:rPr>
          <w:rFonts w:ascii="Times New Roman" w:hAnsi="Times New Roman" w:cs="Times New Roman"/>
          <w:color w:val="C00000"/>
        </w:rPr>
        <w:t>s</w:t>
      </w:r>
      <w:r>
        <w:rPr>
          <w:rFonts w:hint="eastAsia" w:ascii="Times New Roman" w:hAnsi="Times New Roman" w:cs="Times New Roman"/>
          <w:color w:val="C00000"/>
        </w:rPr>
        <w:t xml:space="preserve">, </w:t>
      </w:r>
      <w:r>
        <w:rPr>
          <w:rFonts w:ascii="Times New Roman" w:hAnsi="Times New Roman" w:cs="Times New Roman"/>
          <w:color w:val="C00000"/>
        </w:rPr>
        <w:t>and so on</w:t>
      </w:r>
      <w:r>
        <w:rPr>
          <w:rFonts w:hint="eastAsia" w:ascii="Times New Roman" w:hAnsi="Times New Roman" w:cs="Times New Roman"/>
          <w:color w:val="C00000"/>
        </w:rPr>
        <w:t xml:space="preserve"> to illustrate the abstract CT concepts based on children</w:t>
      </w:r>
      <w:r>
        <w:rPr>
          <w:rFonts w:ascii="Times New Roman" w:hAnsi="Times New Roman" w:cs="Times New Roman"/>
          <w:color w:val="C00000"/>
        </w:rPr>
        <w:t>’</w:t>
      </w:r>
      <w:r>
        <w:rPr>
          <w:rFonts w:hint="eastAsia" w:ascii="Times New Roman" w:hAnsi="Times New Roman" w:cs="Times New Roman"/>
          <w:color w:val="C00000"/>
        </w:rPr>
        <w:t>s life experience</w:t>
      </w:r>
      <w:r>
        <w:rPr>
          <w:rFonts w:ascii="Times New Roman" w:hAnsi="Times New Roman" w:cs="Times New Roman"/>
          <w:color w:val="C00000"/>
        </w:rPr>
        <w:t>s</w:t>
      </w:r>
      <w:r>
        <w:rPr>
          <w:rFonts w:hint="eastAsia" w:ascii="Times New Roman" w:hAnsi="Times New Roman" w:cs="Times New Roman"/>
          <w:color w:val="C00000"/>
        </w:rPr>
        <w:t xml:space="preserve"> </w:t>
      </w:r>
      <w:r>
        <w:rPr>
          <w:rFonts w:ascii="Times New Roman" w:hAnsi="Times New Roman" w:cs="Times New Roman"/>
          <w:color w:val="C00000"/>
        </w:rPr>
        <w:t>and</w:t>
      </w:r>
      <w:r>
        <w:rPr>
          <w:rFonts w:hint="eastAsia" w:ascii="Times New Roman" w:hAnsi="Times New Roman" w:cs="Times New Roman"/>
          <w:color w:val="C00000"/>
        </w:rPr>
        <w:t xml:space="preserve"> kindergarte</w:t>
      </w:r>
      <w:r>
        <w:rPr>
          <w:rFonts w:ascii="Times New Roman" w:hAnsi="Times New Roman" w:cs="Times New Roman"/>
          <w:color w:val="C00000"/>
        </w:rPr>
        <w:t xml:space="preserve">n </w:t>
      </w:r>
      <w:r>
        <w:rPr>
          <w:rFonts w:hint="eastAsia" w:ascii="Times New Roman" w:hAnsi="Times New Roman" w:cs="Times New Roman"/>
          <w:color w:val="C00000"/>
        </w:rPr>
        <w:t>learning content.</w:t>
      </w:r>
      <w:r>
        <w:rPr>
          <w:rFonts w:ascii="Times New Roman" w:hAnsi="Times New Roman" w:cs="Times New Roman"/>
          <w:color w:val="C00000"/>
        </w:rPr>
        <w:t xml:space="preserve"> Unlike traditional robot programming teaching based on illustrating CT concepts through narrations, providing metaphors in robot programming teaching allows the teacher to guide children to perceive and notice the similarity between target CT concepts and source domain events. Meanwhile,</w:t>
      </w:r>
      <w:r>
        <w:rPr>
          <w:rFonts w:hint="eastAsia" w:ascii="Times New Roman" w:hAnsi="Times New Roman" w:cs="Times New Roman"/>
          <w:color w:val="C00000"/>
        </w:rPr>
        <w:t xml:space="preserve"> young children could better understand and master corresponding CT concepts</w:t>
      </w:r>
      <w:r>
        <w:rPr>
          <w:rFonts w:ascii="Times New Roman" w:hAnsi="Times New Roman" w:cs="Times New Roman"/>
          <w:color w:val="C00000"/>
        </w:rPr>
        <w:t xml:space="preserve"> </w:t>
      </w:r>
      <w:r>
        <w:rPr>
          <w:rFonts w:hint="eastAsia" w:ascii="Times New Roman" w:hAnsi="Times New Roman" w:cs="Times New Roman"/>
          <w:color w:val="C00000"/>
        </w:rPr>
        <w:t>and</w:t>
      </w:r>
      <w:r>
        <w:rPr>
          <w:rFonts w:hint="eastAsia" w:ascii="Times New Roman" w:hAnsi="Times New Roman" w:cs="Times New Roman"/>
          <w:color w:val="C00000"/>
          <w:lang w:eastAsia="zh-CN"/>
        </w:rPr>
        <w:t xml:space="preserve"> transfer</w:t>
      </w:r>
      <w:r>
        <w:rPr>
          <w:rFonts w:hint="eastAsia" w:ascii="Times New Roman" w:hAnsi="Times New Roman" w:cs="Times New Roman"/>
          <w:color w:val="C00000"/>
        </w:rPr>
        <w:t xml:space="preserve"> them to problem-solving tasks</w:t>
      </w:r>
      <w:r>
        <w:rPr>
          <w:rFonts w:hint="eastAsia" w:ascii="Times New Roman" w:hAnsi="Times New Roman" w:cs="Times New Roman"/>
          <w:color w:val="C00000"/>
          <w:lang w:eastAsia="zh-CN"/>
        </w:rPr>
        <w:t xml:space="preserve"> in </w:t>
      </w:r>
      <w:r>
        <w:rPr>
          <w:rFonts w:ascii="Times New Roman" w:hAnsi="Times New Roman" w:cs="Times New Roman"/>
          <w:color w:val="C00000"/>
        </w:rPr>
        <w:t>robot</w:t>
      </w:r>
      <w:r>
        <w:rPr>
          <w:rFonts w:hint="eastAsia" w:ascii="Times New Roman" w:hAnsi="Times New Roman" w:cs="Times New Roman"/>
          <w:color w:val="C00000"/>
        </w:rPr>
        <w:t xml:space="preserve"> programming, thereby developing their CT (</w:t>
      </w:r>
      <w:r>
        <w:rPr>
          <w:rFonts w:ascii="Times New Roman" w:hAnsi="Times New Roman" w:cs="Times New Roman"/>
          <w:color w:val="C00000"/>
        </w:rPr>
        <w:t>P</w:t>
      </w:r>
      <w:r>
        <w:rPr>
          <w:rFonts w:hint="eastAsia" w:ascii="Times New Roman" w:hAnsi="Times New Roman" w:cs="Times New Roman"/>
          <w:color w:val="C00000"/>
        </w:rPr>
        <w:t>é</w:t>
      </w:r>
      <w:r>
        <w:rPr>
          <w:rFonts w:ascii="Times New Roman" w:hAnsi="Times New Roman" w:cs="Times New Roman"/>
          <w:color w:val="C00000"/>
        </w:rPr>
        <w:t>rez-Mar</w:t>
      </w:r>
      <w:r>
        <w:rPr>
          <w:rFonts w:hint="eastAsia" w:ascii="Times New Roman" w:hAnsi="Times New Roman" w:cs="Times New Roman"/>
          <w:color w:val="C00000"/>
        </w:rPr>
        <w:t>í</w:t>
      </w:r>
      <w:r>
        <w:rPr>
          <w:rFonts w:ascii="Times New Roman" w:hAnsi="Times New Roman" w:cs="Times New Roman"/>
          <w:color w:val="C00000"/>
        </w:rPr>
        <w:t>n</w:t>
      </w:r>
      <w:r>
        <w:rPr>
          <w:rFonts w:hint="eastAsia" w:ascii="Times New Roman" w:hAnsi="Times New Roman" w:cs="Times New Roman"/>
          <w:color w:val="C00000"/>
        </w:rPr>
        <w:t xml:space="preserve"> et al., 2020; </w:t>
      </w:r>
      <w:r>
        <w:rPr>
          <w:rFonts w:ascii="Times New Roman" w:hAnsi="Times New Roman" w:cs="Times New Roman"/>
          <w:color w:val="C00000"/>
        </w:rPr>
        <w:t>Saban, 2006</w:t>
      </w:r>
      <w:r>
        <w:rPr>
          <w:rFonts w:hint="eastAsia" w:ascii="Times New Roman" w:hAnsi="Times New Roman" w:cs="Times New Roman"/>
          <w:color w:val="C00000"/>
        </w:rPr>
        <w:t>). Conceptual knowledge constructions of children in the preoperational stage depend on more concrete and familiar experiences to construct abstract concepts (Piaget, 1953</w:t>
      </w:r>
      <w:r>
        <w:rPr>
          <w:rFonts w:ascii="Times New Roman" w:hAnsi="Times New Roman" w:cs="Times New Roman"/>
          <w:color w:val="C00000"/>
        </w:rPr>
        <w:t>,</w:t>
      </w:r>
      <w:r>
        <w:rPr>
          <w:rFonts w:hint="eastAsia" w:ascii="Times New Roman" w:hAnsi="Times New Roman" w:cs="Times New Roman"/>
          <w:color w:val="C00000"/>
        </w:rPr>
        <w:t xml:space="preserve"> 1971).</w:t>
      </w:r>
      <w:r>
        <w:rPr>
          <w:rFonts w:ascii="Times New Roman" w:hAnsi="Times New Roman" w:cs="Times New Roman"/>
          <w:color w:val="C00000"/>
        </w:rPr>
        <w:t xml:space="preserve"> Learning Transfer of Constructivism also highlighted the significance of learning transfer by connecting existing learning experiences and knowledge with target abstract concepts (Duffy &amp; Jonassen, 1991; Prenzel &amp; Mandl, 1993). Hence, providing metaphors to young children follows theories of children’s cognitive development and the Learning Transfer of Constructivism. </w:t>
      </w:r>
      <w:r>
        <w:rPr>
          <w:rFonts w:hint="eastAsia" w:ascii="Times New Roman" w:hAnsi="Times New Roman" w:cs="Times New Roman"/>
          <w:color w:val="000000" w:themeColor="text1"/>
          <w14:textFill>
            <w14:solidFill>
              <w14:schemeClr w14:val="tx1"/>
            </w14:solidFill>
          </w14:textFill>
        </w:rPr>
        <w:t>These might be possible reasons why the experimental group could better facilitate their CT than the control group. Therefore, if metaphors could be provided in robot programming teaching, it would effectively facilitate the development of young children</w:t>
      </w:r>
      <w:r>
        <w:rPr>
          <w:rFonts w:ascii="Times New Roman" w:hAnsi="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14:textFill>
            <w14:solidFill>
              <w14:schemeClr w14:val="tx1"/>
            </w14:solidFill>
          </w14:textFill>
        </w:rPr>
        <w:t>s CT.</w:t>
      </w:r>
    </w:p>
    <w:p w14:paraId="76301BA2">
      <w:pPr>
        <w:widowControl/>
        <w:adjustRightInd w:val="0"/>
        <w:snapToGrid w:val="0"/>
        <w:spacing w:line="360" w:lineRule="auto"/>
        <w:ind w:firstLine="480" w:firstLineChars="200"/>
        <w:jc w:val="both"/>
        <w:rPr>
          <w:rFonts w:ascii="Times New Roman" w:hAnsi="Times New Roman" w:cs="Times New Roman"/>
        </w:rPr>
      </w:pPr>
      <w:r>
        <w:rPr>
          <w:rFonts w:hint="eastAsia" w:ascii="Times New Roman" w:hAnsi="Times New Roman" w:cs="Times New Roman"/>
        </w:rPr>
        <w:t xml:space="preserve">In response to research question two, by comparing </w:t>
      </w:r>
      <w:r>
        <w:rPr>
          <w:rFonts w:ascii="Times New Roman" w:hAnsi="Times New Roman" w:cs="Times New Roman"/>
        </w:rPr>
        <w:t xml:space="preserve">the </w:t>
      </w:r>
      <w:r>
        <w:rPr>
          <w:rFonts w:hint="eastAsia" w:ascii="Times New Roman" w:hAnsi="Times New Roman" w:cs="Times New Roman"/>
        </w:rPr>
        <w:t>two groups</w:t>
      </w:r>
      <w:r>
        <w:rPr>
          <w:rFonts w:ascii="Times New Roman" w:hAnsi="Times New Roman" w:cs="Times New Roman"/>
        </w:rPr>
        <w:t>’</w:t>
      </w:r>
      <w:r>
        <w:rPr>
          <w:rFonts w:hint="eastAsia" w:ascii="Times New Roman" w:hAnsi="Times New Roman" w:cs="Times New Roman"/>
        </w:rPr>
        <w:t xml:space="preserve"> behavior</w:t>
      </w:r>
      <w:r>
        <w:rPr>
          <w:rFonts w:ascii="Times New Roman" w:hAnsi="Times New Roman" w:cs="Times New Roman"/>
        </w:rPr>
        <w:t>al patterns</w:t>
      </w:r>
      <w:r>
        <w:rPr>
          <w:rFonts w:hint="eastAsia" w:ascii="Times New Roman" w:hAnsi="Times New Roman" w:cs="Times New Roman"/>
        </w:rPr>
        <w:t xml:space="preserve"> based on the lag-sequen</w:t>
      </w:r>
      <w:r>
        <w:rPr>
          <w:rFonts w:ascii="Times New Roman" w:hAnsi="Times New Roman" w:cs="Times New Roman"/>
        </w:rPr>
        <w:t>tial</w:t>
      </w:r>
      <w:r>
        <w:rPr>
          <w:rFonts w:hint="eastAsia" w:ascii="Times New Roman" w:hAnsi="Times New Roman" w:cs="Times New Roman"/>
        </w:rPr>
        <w:t xml:space="preserve"> analysis</w:t>
      </w:r>
      <w:r>
        <w:rPr>
          <w:rFonts w:ascii="Times New Roman" w:hAnsi="Times New Roman" w:cs="Times New Roman"/>
        </w:rPr>
        <w:t xml:space="preserve"> </w:t>
      </w:r>
      <w:r>
        <w:rPr>
          <w:rFonts w:hint="eastAsia" w:ascii="Times New Roman" w:hAnsi="Times New Roman" w:cs="Times New Roman"/>
        </w:rPr>
        <w:t>results, children who engaged in the MRP group performed different behavioral patterns from children who engaged in the CRP control group. Specifically, there are three main findings synthesized from the behavioral patterns of children in the experimental group: (1) they tended to be more concentrated on the instructional process; (2) they were more engaged in completing programming tasks;</w:t>
      </w:r>
      <w:r>
        <w:rPr>
          <w:rFonts w:ascii="Times New Roman" w:hAnsi="Times New Roman" w:cs="Times New Roman"/>
        </w:rPr>
        <w:t xml:space="preserve"> and</w:t>
      </w:r>
      <w:r>
        <w:rPr>
          <w:rFonts w:hint="eastAsia" w:ascii="Times New Roman" w:hAnsi="Times New Roman" w:cs="Times New Roman"/>
        </w:rPr>
        <w:t xml:space="preserve"> (3) more children devoted themsel</w:t>
      </w:r>
      <w:r>
        <w:rPr>
          <w:rFonts w:ascii="Times New Roman" w:hAnsi="Times New Roman" w:cs="Times New Roman"/>
        </w:rPr>
        <w:t>ves</w:t>
      </w:r>
      <w:r>
        <w:rPr>
          <w:rFonts w:hint="eastAsia" w:ascii="Times New Roman" w:hAnsi="Times New Roman" w:cs="Times New Roman"/>
        </w:rPr>
        <w:t xml:space="preserve"> to extending or sharing learning tasks after the required tasks. The following possible reasons might explain this phenomenon: when teaching </w:t>
      </w:r>
      <w:r>
        <w:rPr>
          <w:rFonts w:ascii="Times New Roman" w:hAnsi="Times New Roman" w:cs="Times New Roman"/>
        </w:rPr>
        <w:t xml:space="preserve">robot </w:t>
      </w:r>
      <w:r>
        <w:rPr>
          <w:rFonts w:hint="eastAsia" w:ascii="Times New Roman" w:hAnsi="Times New Roman" w:cs="Times New Roman"/>
        </w:rPr>
        <w:t>programming for children</w:t>
      </w:r>
      <w:r>
        <w:rPr>
          <w:rFonts w:ascii="Times New Roman" w:hAnsi="Times New Roman" w:cs="Times New Roman"/>
        </w:rPr>
        <w:t xml:space="preserve">, </w:t>
      </w:r>
      <w:r>
        <w:rPr>
          <w:rFonts w:hint="eastAsia" w:ascii="Times New Roman" w:hAnsi="Times New Roman" w:cs="Times New Roman"/>
        </w:rPr>
        <w:t xml:space="preserve">the provision of metaphors could help teachers build a linkage between abstract CT concepts and vivid and concrete content that closely connects to </w:t>
      </w:r>
      <w:r>
        <w:rPr>
          <w:rFonts w:ascii="Times New Roman" w:hAnsi="Times New Roman" w:cs="Times New Roman"/>
        </w:rPr>
        <w:t xml:space="preserve">the </w:t>
      </w:r>
      <w:r>
        <w:rPr>
          <w:rFonts w:hint="eastAsia" w:ascii="Times New Roman" w:hAnsi="Times New Roman" w:cs="Times New Roman"/>
        </w:rPr>
        <w:t>children</w:t>
      </w:r>
      <w:r>
        <w:rPr>
          <w:rFonts w:ascii="Times New Roman" w:hAnsi="Times New Roman" w:cs="Times New Roman"/>
        </w:rPr>
        <w:t>’</w:t>
      </w:r>
      <w:r>
        <w:rPr>
          <w:rFonts w:hint="eastAsia" w:ascii="Times New Roman" w:hAnsi="Times New Roman" w:cs="Times New Roman"/>
        </w:rPr>
        <w:t>s existing knowledge and life experiences</w:t>
      </w:r>
      <w:r>
        <w:rPr>
          <w:rFonts w:ascii="Times New Roman" w:hAnsi="Times New Roman" w:cs="Times New Roman"/>
        </w:rPr>
        <w:t xml:space="preserve"> </w:t>
      </w:r>
      <w:r>
        <w:rPr>
          <w:rFonts w:hint="eastAsia" w:ascii="Times New Roman" w:hAnsi="Times New Roman" w:cs="Times New Roman"/>
        </w:rPr>
        <w:t>(Milner, 2010; Peelle, 1983</w:t>
      </w:r>
      <w:r>
        <w:rPr>
          <w:rFonts w:ascii="Times New Roman" w:hAnsi="Times New Roman" w:cs="Times New Roman"/>
        </w:rPr>
        <w:t xml:space="preserve">; </w:t>
      </w:r>
      <w:r>
        <w:rPr>
          <w:rFonts w:hint="eastAsia" w:ascii="Times New Roman" w:hAnsi="Times New Roman" w:cs="Times New Roman"/>
        </w:rPr>
        <w:t xml:space="preserve">Thomas &amp; McRobbie, 2001). Therefore, </w:t>
      </w:r>
      <w:r>
        <w:rPr>
          <w:rFonts w:ascii="Times New Roman" w:hAnsi="Times New Roman" w:cs="Times New Roman"/>
        </w:rPr>
        <w:t xml:space="preserve">the </w:t>
      </w:r>
      <w:r>
        <w:rPr>
          <w:rFonts w:hint="eastAsia" w:ascii="Times New Roman" w:hAnsi="Times New Roman" w:cs="Times New Roman"/>
        </w:rPr>
        <w:t>children could perceive, understand, and construct the corresponding CT concepts well and then transfer and apply them to complete problem-solving tasks of robot programming</w:t>
      </w:r>
      <w:r>
        <w:rPr>
          <w:rFonts w:ascii="Times New Roman" w:hAnsi="Times New Roman" w:cs="Times New Roman"/>
        </w:rPr>
        <w:t xml:space="preserve"> (P</w:t>
      </w:r>
      <w:r>
        <w:rPr>
          <w:rFonts w:hint="eastAsia" w:ascii="Times New Roman" w:hAnsi="Times New Roman" w:cs="Times New Roman"/>
        </w:rPr>
        <w:t>é</w:t>
      </w:r>
      <w:r>
        <w:rPr>
          <w:rFonts w:ascii="Times New Roman" w:hAnsi="Times New Roman" w:cs="Times New Roman"/>
        </w:rPr>
        <w:t>rez-Mar</w:t>
      </w:r>
      <w:r>
        <w:rPr>
          <w:rFonts w:hint="eastAsia" w:ascii="Times New Roman" w:hAnsi="Times New Roman" w:cs="Times New Roman"/>
        </w:rPr>
        <w:t>í</w:t>
      </w:r>
      <w:r>
        <w:rPr>
          <w:rFonts w:ascii="Times New Roman" w:hAnsi="Times New Roman" w:cs="Times New Roman"/>
        </w:rPr>
        <w:t>n</w:t>
      </w:r>
      <w:r>
        <w:rPr>
          <w:rFonts w:hint="eastAsia" w:ascii="Times New Roman" w:hAnsi="Times New Roman" w:cs="Times New Roman"/>
        </w:rPr>
        <w:t xml:space="preserve"> et al., </w:t>
      </w:r>
      <w:r>
        <w:rPr>
          <w:rFonts w:ascii="Times New Roman" w:hAnsi="Times New Roman" w:cs="Times New Roman"/>
        </w:rPr>
        <w:t xml:space="preserve">2018, </w:t>
      </w:r>
      <w:r>
        <w:rPr>
          <w:rFonts w:hint="eastAsia" w:ascii="Times New Roman" w:hAnsi="Times New Roman" w:cs="Times New Roman"/>
        </w:rPr>
        <w:t>2020</w:t>
      </w:r>
      <w:r>
        <w:rPr>
          <w:rFonts w:ascii="Times New Roman" w:hAnsi="Times New Roman" w:cs="Times New Roman"/>
        </w:rPr>
        <w:t>)</w:t>
      </w:r>
      <w:r>
        <w:rPr>
          <w:rFonts w:hint="eastAsia" w:ascii="Times New Roman" w:hAnsi="Times New Roman" w:cs="Times New Roman"/>
        </w:rPr>
        <w:t xml:space="preserve">. In addition, in terms of more children </w:t>
      </w:r>
      <w:r>
        <w:rPr>
          <w:rFonts w:ascii="Times New Roman" w:hAnsi="Times New Roman" w:cs="Times New Roman"/>
        </w:rPr>
        <w:t xml:space="preserve">performing positive behaviors of </w:t>
      </w:r>
      <w:r>
        <w:rPr>
          <w:rFonts w:hint="eastAsia" w:ascii="Times New Roman" w:hAnsi="Times New Roman" w:cs="Times New Roman"/>
        </w:rPr>
        <w:t>extending or sharing learning tasks after the required tasks</w:t>
      </w:r>
      <w:r>
        <w:rPr>
          <w:rFonts w:ascii="Times New Roman" w:hAnsi="Times New Roman" w:cs="Times New Roman"/>
        </w:rPr>
        <w:t xml:space="preserve"> (Bers et al., 2019)</w:t>
      </w:r>
      <w:r>
        <w:rPr>
          <w:rFonts w:hint="eastAsia" w:ascii="Times New Roman" w:hAnsi="Times New Roman" w:cs="Times New Roman"/>
        </w:rPr>
        <w:t>, we could infer that the MRP approach could enrich children</w:t>
      </w:r>
      <w:r>
        <w:rPr>
          <w:rFonts w:ascii="Times New Roman" w:hAnsi="Times New Roman" w:cs="Times New Roman"/>
        </w:rPr>
        <w:t>’</w:t>
      </w:r>
      <w:r>
        <w:rPr>
          <w:rFonts w:hint="eastAsia" w:ascii="Times New Roman" w:hAnsi="Times New Roman" w:cs="Times New Roman"/>
        </w:rPr>
        <w:t>s programming learning experiences and stimulate children</w:t>
      </w:r>
      <w:r>
        <w:rPr>
          <w:rFonts w:ascii="Times New Roman" w:hAnsi="Times New Roman" w:cs="Times New Roman"/>
        </w:rPr>
        <w:t>’</w:t>
      </w:r>
      <w:r>
        <w:rPr>
          <w:rFonts w:hint="eastAsia" w:ascii="Times New Roman" w:hAnsi="Times New Roman" w:cs="Times New Roman"/>
        </w:rPr>
        <w:t>s skill transfer ability and divergent thinking. As for the CRP control group, three main findings could also be concluded: (1) they were more bewildered by the problem-solving tasks; (2) children in the control group more repeatedly turn</w:t>
      </w:r>
      <w:r>
        <w:rPr>
          <w:rFonts w:ascii="Times New Roman" w:hAnsi="Times New Roman" w:cs="Times New Roman"/>
        </w:rPr>
        <w:t>ed</w:t>
      </w:r>
      <w:r>
        <w:rPr>
          <w:rFonts w:hint="eastAsia" w:ascii="Times New Roman" w:hAnsi="Times New Roman" w:cs="Times New Roman"/>
        </w:rPr>
        <w:t xml:space="preserve"> to ask for help </w:t>
      </w:r>
      <w:r>
        <w:rPr>
          <w:rFonts w:ascii="Times New Roman" w:hAnsi="Times New Roman" w:cs="Times New Roman"/>
        </w:rPr>
        <w:t>with</w:t>
      </w:r>
      <w:r>
        <w:rPr>
          <w:rFonts w:hint="eastAsia" w:ascii="Times New Roman" w:hAnsi="Times New Roman" w:cs="Times New Roman"/>
        </w:rPr>
        <w:t xml:space="preserve"> debug</w:t>
      </w:r>
      <w:r>
        <w:rPr>
          <w:rFonts w:ascii="Times New Roman" w:hAnsi="Times New Roman" w:cs="Times New Roman"/>
        </w:rPr>
        <w:t>ging</w:t>
      </w:r>
      <w:r>
        <w:rPr>
          <w:rFonts w:hint="eastAsia" w:ascii="Times New Roman" w:hAnsi="Times New Roman" w:cs="Times New Roman"/>
        </w:rPr>
        <w:t xml:space="preserve"> the programs;</w:t>
      </w:r>
      <w:r>
        <w:rPr>
          <w:rFonts w:ascii="Times New Roman" w:hAnsi="Times New Roman" w:cs="Times New Roman"/>
        </w:rPr>
        <w:t xml:space="preserve"> and</w:t>
      </w:r>
      <w:r>
        <w:rPr>
          <w:rFonts w:hint="eastAsia" w:ascii="Times New Roman" w:hAnsi="Times New Roman" w:cs="Times New Roman"/>
        </w:rPr>
        <w:t xml:space="preserve"> (3) they </w:t>
      </w:r>
      <w:r>
        <w:rPr>
          <w:rFonts w:ascii="Times New Roman" w:hAnsi="Times New Roman" w:cs="Times New Roman"/>
        </w:rPr>
        <w:t>more often</w:t>
      </w:r>
      <w:r>
        <w:rPr>
          <w:rFonts w:hint="eastAsia" w:ascii="Times New Roman" w:hAnsi="Times New Roman" w:cs="Times New Roman"/>
        </w:rPr>
        <w:t xml:space="preserve"> perform</w:t>
      </w:r>
      <w:r>
        <w:rPr>
          <w:rFonts w:ascii="Times New Roman" w:hAnsi="Times New Roman" w:cs="Times New Roman"/>
        </w:rPr>
        <w:t>ed</w:t>
      </w:r>
      <w:r>
        <w:rPr>
          <w:rFonts w:hint="eastAsia" w:ascii="Times New Roman" w:hAnsi="Times New Roman" w:cs="Times New Roman"/>
        </w:rPr>
        <w:t xml:space="preserve"> irrelevant behaviors during the class, similar to Zhan et al.</w:t>
      </w:r>
      <w:r>
        <w:rPr>
          <w:rFonts w:ascii="Times New Roman" w:hAnsi="Times New Roman" w:cs="Times New Roman"/>
        </w:rPr>
        <w:t>’</w:t>
      </w:r>
      <w:r>
        <w:rPr>
          <w:rFonts w:hint="eastAsia" w:ascii="Times New Roman" w:hAnsi="Times New Roman" w:cs="Times New Roman"/>
        </w:rPr>
        <w:t xml:space="preserve">s (2022) finding. The behavioral patterns of the control group could also reflect the problems in conventional </w:t>
      </w:r>
      <w:r>
        <w:rPr>
          <w:rFonts w:ascii="Times New Roman" w:hAnsi="Times New Roman" w:cs="Times New Roman"/>
        </w:rPr>
        <w:t xml:space="preserve">robot </w:t>
      </w:r>
      <w:r>
        <w:rPr>
          <w:rFonts w:hint="eastAsia" w:ascii="Times New Roman" w:hAnsi="Times New Roman" w:cs="Times New Roman"/>
        </w:rPr>
        <w:t xml:space="preserve">programming and CT education that children might have difficulties understanding and mastering the basic concepts and try to ask for help or underperform in learning tasks if no proper pedagogical approach were provided (e.g., Critten et al., 2021; Relkin et al., 2021). </w:t>
      </w:r>
      <w:r>
        <w:rPr>
          <w:rFonts w:ascii="Times New Roman" w:hAnsi="Times New Roman" w:cs="Times New Roman"/>
        </w:rPr>
        <w:t>As the analysis and comparison of children’s learning behaviors can provide qualitative data to evaluate</w:t>
      </w:r>
      <w:r>
        <w:rPr>
          <w:rFonts w:ascii="Times New Roman" w:hAnsi="Times New Roman" w:cs="Times New Roman"/>
          <w:lang w:eastAsia="zh-Hans"/>
        </w:rPr>
        <w:t xml:space="preserve"> the effectiveness of the proposed teaching methods</w:t>
      </w:r>
      <w:r>
        <w:rPr>
          <w:rFonts w:ascii="Times New Roman" w:hAnsi="Times New Roman" w:cs="Times New Roman"/>
        </w:rPr>
        <w:t xml:space="preserve"> (</w:t>
      </w:r>
      <w:r>
        <w:rPr>
          <w:rFonts w:hint="eastAsia" w:ascii="Times New Roman" w:hAnsi="Times New Roman" w:cs="Times New Roman"/>
          <w:lang w:val="en-US" w:eastAsia="zh-CN"/>
        </w:rPr>
        <w:t>Hwang et al.</w:t>
      </w:r>
      <w:r>
        <w:rPr>
          <w:rFonts w:ascii="Times New Roman" w:hAnsi="Times New Roman" w:cs="Times New Roman"/>
        </w:rPr>
        <w:t>, 2017, 2021)</w:t>
      </w:r>
      <w:r>
        <w:rPr>
          <w:rFonts w:hint="eastAsia" w:ascii="Times New Roman" w:hAnsi="Times New Roman" w:cs="Times New Roman"/>
        </w:rPr>
        <w:t xml:space="preserve">, it can </w:t>
      </w:r>
      <w:r>
        <w:rPr>
          <w:rFonts w:hint="eastAsia" w:ascii="Times New Roman" w:hAnsi="Times New Roman" w:cs="Times New Roman"/>
          <w:lang w:eastAsia="zh-CN"/>
        </w:rPr>
        <w:t xml:space="preserve">be </w:t>
      </w:r>
      <w:r>
        <w:rPr>
          <w:rFonts w:hint="eastAsia" w:ascii="Times New Roman" w:hAnsi="Times New Roman" w:cs="Times New Roman"/>
        </w:rPr>
        <w:t>infer</w:t>
      </w:r>
      <w:r>
        <w:rPr>
          <w:rFonts w:hint="eastAsia" w:ascii="Times New Roman" w:hAnsi="Times New Roman" w:cs="Times New Roman"/>
          <w:lang w:eastAsia="zh-CN"/>
        </w:rPr>
        <w:t>red</w:t>
      </w:r>
      <w:r>
        <w:rPr>
          <w:rFonts w:hint="eastAsia" w:ascii="Times New Roman" w:hAnsi="Times New Roman" w:cs="Times New Roman"/>
        </w:rPr>
        <w:t xml:space="preserve"> that the proposed metaphor-based robot programming approach c</w:t>
      </w:r>
      <w:r>
        <w:rPr>
          <w:rFonts w:ascii="Times New Roman" w:hAnsi="Times New Roman" w:cs="Times New Roman"/>
        </w:rPr>
        <w:t>ould</w:t>
      </w:r>
      <w:r>
        <w:rPr>
          <w:rFonts w:hint="eastAsia" w:ascii="Times New Roman" w:hAnsi="Times New Roman" w:cs="Times New Roman"/>
        </w:rPr>
        <w:t xml:space="preserve"> facilitate children</w:t>
      </w:r>
      <w:r>
        <w:rPr>
          <w:rFonts w:ascii="Times New Roman" w:hAnsi="Times New Roman" w:cs="Times New Roman"/>
        </w:rPr>
        <w:t>’</w:t>
      </w:r>
      <w:r>
        <w:rPr>
          <w:rFonts w:hint="eastAsia" w:ascii="Times New Roman" w:hAnsi="Times New Roman" w:cs="Times New Roman"/>
        </w:rPr>
        <w:t xml:space="preserve">s superior learning performance and more positive behaviors, so as to help them achieve </w:t>
      </w:r>
      <w:r>
        <w:rPr>
          <w:rFonts w:ascii="Times New Roman" w:hAnsi="Times New Roman" w:cs="Times New Roman"/>
        </w:rPr>
        <w:t xml:space="preserve">the </w:t>
      </w:r>
      <w:r>
        <w:rPr>
          <w:rFonts w:hint="eastAsia" w:ascii="Times New Roman" w:hAnsi="Times New Roman" w:cs="Times New Roman"/>
        </w:rPr>
        <w:t>learning objectives.</w:t>
      </w:r>
    </w:p>
    <w:p w14:paraId="4CF36B65">
      <w:pPr>
        <w:widowControl/>
        <w:adjustRightInd w:val="0"/>
        <w:snapToGrid w:val="0"/>
        <w:spacing w:line="360" w:lineRule="auto"/>
        <w:jc w:val="both"/>
        <w:rPr>
          <w:rFonts w:ascii="Times New Roman" w:hAnsi="Times New Roman" w:cs="Times New Roman"/>
        </w:rPr>
      </w:pPr>
    </w:p>
    <w:p w14:paraId="00FD1219">
      <w:pPr>
        <w:pStyle w:val="20"/>
        <w:adjustRightInd w:val="0"/>
        <w:snapToGrid w:val="0"/>
        <w:spacing w:line="360" w:lineRule="auto"/>
        <w:ind w:left="0" w:leftChars="0"/>
        <w:jc w:val="both"/>
        <w:rPr>
          <w:rFonts w:ascii="Times New Roman" w:hAnsi="Times New Roman" w:cs="Times New Roman"/>
          <w:lang w:eastAsia="zh-HK"/>
        </w:rPr>
      </w:pPr>
      <w:r>
        <w:rPr>
          <w:rFonts w:ascii="Times New Roman" w:hAnsi="Times New Roman" w:cs="Times New Roman"/>
          <w:b/>
          <w:sz w:val="28"/>
          <w:lang w:eastAsia="zh-HK"/>
        </w:rPr>
        <w:t xml:space="preserve">7. </w:t>
      </w:r>
      <w:r>
        <w:rPr>
          <w:rFonts w:hint="eastAsia" w:ascii="Times New Roman" w:hAnsi="Times New Roman" w:cs="Times New Roman"/>
          <w:b/>
          <w:sz w:val="28"/>
          <w:lang w:eastAsia="zh-HK"/>
        </w:rPr>
        <w:t>Contributions and implications</w:t>
      </w:r>
    </w:p>
    <w:p w14:paraId="79CE132C">
      <w:pPr>
        <w:widowControl/>
        <w:adjustRightInd w:val="0"/>
        <w:snapToGrid w:val="0"/>
        <w:spacing w:line="360" w:lineRule="auto"/>
        <w:ind w:firstLine="480" w:firstLineChars="200"/>
        <w:jc w:val="both"/>
        <w:rPr>
          <w:rFonts w:ascii="Times New Roman" w:hAnsi="Times New Roman" w:cs="Times New Roman"/>
        </w:rPr>
      </w:pPr>
      <w:r>
        <w:rPr>
          <w:rFonts w:ascii="Times New Roman" w:hAnsi="Times New Roman" w:cs="Times New Roman"/>
        </w:rPr>
        <w:t xml:space="preserve"> </w:t>
      </w:r>
      <w:r>
        <w:rPr>
          <w:rFonts w:hint="eastAsia" w:ascii="Times New Roman" w:hAnsi="Times New Roman" w:cs="Times New Roman"/>
          <w:lang w:eastAsia="zh-CN"/>
        </w:rPr>
        <w:t>First</w:t>
      </w:r>
      <w:r>
        <w:rPr>
          <w:rFonts w:ascii="Times New Roman" w:hAnsi="Times New Roman" w:cs="Times New Roman"/>
        </w:rPr>
        <w:t>, th</w:t>
      </w:r>
      <w:r>
        <w:rPr>
          <w:rFonts w:hint="eastAsia" w:ascii="Times New Roman" w:hAnsi="Times New Roman" w:cs="Times New Roman"/>
          <w:lang w:eastAsia="zh-CN"/>
        </w:rPr>
        <w:t xml:space="preserve">is </w:t>
      </w:r>
      <w:r>
        <w:rPr>
          <w:rFonts w:ascii="Times New Roman" w:hAnsi="Times New Roman" w:cs="Times New Roman"/>
        </w:rPr>
        <w:t xml:space="preserve">study makes a contribution regarding the pedagogical approach to programming and CT </w:t>
      </w:r>
      <w:r>
        <w:rPr>
          <w:rFonts w:hint="eastAsia" w:ascii="Times New Roman" w:hAnsi="Times New Roman" w:cs="Times New Roman"/>
          <w:lang w:eastAsia="zh-CN"/>
        </w:rPr>
        <w:t xml:space="preserve">education </w:t>
      </w:r>
      <w:r>
        <w:rPr>
          <w:rFonts w:ascii="Times New Roman" w:hAnsi="Times New Roman" w:cs="Times New Roman"/>
        </w:rPr>
        <w:t xml:space="preserve">for young children. </w:t>
      </w:r>
      <w:r>
        <w:rPr>
          <w:rFonts w:hint="eastAsia" w:ascii="Times New Roman" w:hAnsi="Times New Roman" w:cs="Times New Roman"/>
          <w:lang w:eastAsia="zh-CN"/>
        </w:rPr>
        <w:t>In conventional robot programming teaching, t</w:t>
      </w:r>
      <w:r>
        <w:rPr>
          <w:rFonts w:ascii="Times New Roman" w:hAnsi="Times New Roman" w:cs="Times New Roman"/>
        </w:rPr>
        <w:t xml:space="preserve">here were challenges for young children to learn some abstract programming and CT concepts. Our study proposed the MRP approach and verified its effectiveness in terms of developing young children’s CT. Pérez-Marín (2020) found that using metaphors </w:t>
      </w:r>
      <w:r>
        <w:rPr>
          <w:rFonts w:hint="eastAsia" w:ascii="Times New Roman" w:hAnsi="Times New Roman" w:cs="Times New Roman"/>
          <w:lang w:eastAsia="zh-CN"/>
        </w:rPr>
        <w:t xml:space="preserve">in screen-based programming </w:t>
      </w:r>
      <w:r>
        <w:rPr>
          <w:rFonts w:ascii="Times New Roman" w:hAnsi="Times New Roman" w:cs="Times New Roman"/>
        </w:rPr>
        <w:t>could enhance fourth</w:t>
      </w:r>
      <w:r>
        <w:rPr>
          <w:rFonts w:hint="eastAsia" w:ascii="Times New Roman" w:hAnsi="Times New Roman" w:cs="Times New Roman"/>
          <w:lang w:eastAsia="zh-CN"/>
        </w:rPr>
        <w:t>-</w:t>
      </w:r>
      <w:r>
        <w:rPr>
          <w:rFonts w:ascii="Times New Roman" w:hAnsi="Times New Roman" w:cs="Times New Roman"/>
        </w:rPr>
        <w:t xml:space="preserve"> to sixth-grade</w:t>
      </w:r>
      <w:r>
        <w:rPr>
          <w:rFonts w:hint="eastAsia" w:ascii="Times New Roman" w:hAnsi="Times New Roman" w:cs="Times New Roman"/>
          <w:lang w:eastAsia="zh-CN"/>
        </w:rPr>
        <w:t>rs</w:t>
      </w:r>
      <w:r>
        <w:rPr>
          <w:rFonts w:ascii="Times New Roman" w:hAnsi="Times New Roman" w:cs="Times New Roman"/>
        </w:rPr>
        <w:t xml:space="preserve"> CT. Th</w:t>
      </w:r>
      <w:r>
        <w:rPr>
          <w:rFonts w:hint="eastAsia" w:ascii="Times New Roman" w:hAnsi="Times New Roman" w:cs="Times New Roman"/>
          <w:lang w:eastAsia="zh-CN"/>
        </w:rPr>
        <w:t>is study</w:t>
      </w:r>
      <w:r>
        <w:rPr>
          <w:rFonts w:ascii="Times New Roman" w:hAnsi="Times New Roman" w:cs="Times New Roman"/>
        </w:rPr>
        <w:t xml:space="preserve"> </w:t>
      </w:r>
      <w:r>
        <w:rPr>
          <w:rFonts w:hint="eastAsia" w:ascii="Times New Roman" w:hAnsi="Times New Roman" w:cs="Times New Roman"/>
          <w:lang w:eastAsia="zh-CN"/>
        </w:rPr>
        <w:t xml:space="preserve">also </w:t>
      </w:r>
      <w:r>
        <w:rPr>
          <w:rFonts w:ascii="Times New Roman" w:hAnsi="Times New Roman" w:cs="Times New Roman"/>
        </w:rPr>
        <w:t xml:space="preserve">extended </w:t>
      </w:r>
      <w:r>
        <w:rPr>
          <w:rFonts w:hint="eastAsia" w:ascii="Times New Roman" w:hAnsi="Times New Roman" w:cs="Times New Roman"/>
        </w:rPr>
        <w:t>previous</w:t>
      </w:r>
      <w:r>
        <w:rPr>
          <w:rFonts w:ascii="Times New Roman" w:hAnsi="Times New Roman" w:cs="Times New Roman"/>
        </w:rPr>
        <w:t xml:space="preserve"> findings that integrating metaphors in robot programming learning could promote young children’s CT. </w:t>
      </w:r>
      <w:r>
        <w:rPr>
          <w:rFonts w:hint="eastAsia" w:ascii="Times New Roman" w:hAnsi="Times New Roman" w:cs="Times New Roman"/>
          <w:lang w:eastAsia="zh-CN"/>
        </w:rPr>
        <w:t>Therefore</w:t>
      </w:r>
      <w:r>
        <w:rPr>
          <w:rFonts w:ascii="Times New Roman" w:hAnsi="Times New Roman" w:cs="Times New Roman"/>
        </w:rPr>
        <w:t>, educational practitioners should be well-trained to</w:t>
      </w:r>
      <w:r>
        <w:rPr>
          <w:rFonts w:hint="eastAsia" w:ascii="Times New Roman" w:hAnsi="Times New Roman" w:cs="Times New Roman"/>
          <w:lang w:eastAsia="zh-CN"/>
        </w:rPr>
        <w:t xml:space="preserve"> apply </w:t>
      </w:r>
      <w:r>
        <w:rPr>
          <w:rFonts w:ascii="Times New Roman" w:hAnsi="Times New Roman" w:cs="Times New Roman"/>
        </w:rPr>
        <w:t>the MRP approach effectively.</w:t>
      </w:r>
    </w:p>
    <w:p w14:paraId="1EBA69E2">
      <w:pPr>
        <w:widowControl/>
        <w:adjustRightInd w:val="0"/>
        <w:snapToGrid w:val="0"/>
        <w:spacing w:line="360" w:lineRule="auto"/>
        <w:ind w:firstLine="480" w:firstLineChars="200"/>
        <w:jc w:val="both"/>
        <w:rPr>
          <w:rFonts w:ascii="Times New Roman" w:hAnsi="Times New Roman" w:cs="Times New Roman"/>
        </w:rPr>
      </w:pPr>
      <w:r>
        <w:rPr>
          <w:rFonts w:ascii="Times New Roman" w:hAnsi="Times New Roman" w:cs="Times New Roman"/>
        </w:rPr>
        <w:t>Second, owing to the limited research on children’s behaviors in programming learning, a coding scheme for children’s learning behaviors was developed to explore their learning behaviors in robot programming settings in this study. Compared to children’s learning achievement, the analysis of learners’ behaviors focused more on children’s performance in the learning process. The data were more dynamic and persuasive than the provision of mere quantitative data by conventional tests (</w:t>
      </w:r>
      <w:r>
        <w:rPr>
          <w:rFonts w:hint="eastAsia" w:ascii="Times New Roman" w:hAnsi="Times New Roman" w:cs="Times New Roman"/>
          <w:lang w:val="en-US" w:eastAsia="zh-CN"/>
        </w:rPr>
        <w:t>Hwang et al.</w:t>
      </w:r>
      <w:r>
        <w:rPr>
          <w:rFonts w:ascii="Times New Roman" w:hAnsi="Times New Roman" w:cs="Times New Roman"/>
        </w:rPr>
        <w:t xml:space="preserve">, 2017). The coding scheme and findings can be a </w:t>
      </w:r>
      <w:r>
        <w:rPr>
          <w:rFonts w:hint="eastAsia" w:ascii="Times New Roman" w:hAnsi="Times New Roman" w:cs="Times New Roman"/>
          <w:lang w:eastAsia="zh-CN"/>
        </w:rPr>
        <w:t>baseline</w:t>
      </w:r>
      <w:r>
        <w:rPr>
          <w:rFonts w:ascii="Times New Roman" w:hAnsi="Times New Roman" w:cs="Times New Roman"/>
        </w:rPr>
        <w:t xml:space="preserve"> for future research. </w:t>
      </w:r>
      <w:r>
        <w:rPr>
          <w:rFonts w:hint="eastAsia" w:ascii="Times New Roman" w:hAnsi="Times New Roman" w:cs="Times New Roman"/>
          <w:lang w:eastAsia="zh-CN"/>
        </w:rPr>
        <w:t>In general</w:t>
      </w:r>
      <w:r>
        <w:rPr>
          <w:rFonts w:ascii="Times New Roman" w:hAnsi="Times New Roman" w:cs="Times New Roman"/>
        </w:rPr>
        <w:t>, this study provides insightful guidance and inspiration for future research on effective programming teaching and CT development for young children.</w:t>
      </w:r>
    </w:p>
    <w:p w14:paraId="788A4862">
      <w:pPr>
        <w:widowControl/>
        <w:adjustRightInd w:val="0"/>
        <w:snapToGrid w:val="0"/>
        <w:spacing w:line="360" w:lineRule="auto"/>
        <w:jc w:val="both"/>
        <w:rPr>
          <w:rFonts w:ascii="Times New Roman" w:hAnsi="Times New Roman" w:cs="Times New Roman"/>
        </w:rPr>
      </w:pPr>
    </w:p>
    <w:p w14:paraId="3119A5D9">
      <w:pPr>
        <w:pStyle w:val="20"/>
        <w:adjustRightInd w:val="0"/>
        <w:snapToGrid w:val="0"/>
        <w:spacing w:line="360" w:lineRule="auto"/>
        <w:ind w:left="0" w:leftChars="0"/>
        <w:jc w:val="both"/>
        <w:rPr>
          <w:rFonts w:ascii="Times New Roman" w:hAnsi="Times New Roman" w:cs="Times New Roman"/>
          <w:b/>
          <w:sz w:val="28"/>
          <w:lang w:eastAsia="zh-HK"/>
        </w:rPr>
      </w:pPr>
      <w:r>
        <w:rPr>
          <w:rFonts w:ascii="Times New Roman" w:hAnsi="Times New Roman" w:cs="Times New Roman"/>
          <w:b/>
          <w:sz w:val="28"/>
          <w:lang w:eastAsia="zh-HK"/>
        </w:rPr>
        <w:t xml:space="preserve">7. </w:t>
      </w:r>
      <w:r>
        <w:rPr>
          <w:rFonts w:hint="eastAsia" w:ascii="Times New Roman" w:hAnsi="Times New Roman" w:cs="Times New Roman"/>
          <w:b/>
          <w:sz w:val="28"/>
          <w:lang w:eastAsia="zh-HK"/>
        </w:rPr>
        <w:t>Limitations and future studies</w:t>
      </w:r>
    </w:p>
    <w:p w14:paraId="0159D136">
      <w:pPr>
        <w:widowControl/>
        <w:adjustRightInd w:val="0"/>
        <w:snapToGrid w:val="0"/>
        <w:spacing w:line="360" w:lineRule="auto"/>
        <w:ind w:firstLine="480" w:firstLineChars="200"/>
        <w:jc w:val="both"/>
        <w:rPr>
          <w:rFonts w:ascii="Times New Roman" w:hAnsi="Times New Roman" w:cs="Times New Roman"/>
        </w:rPr>
      </w:pPr>
      <w:r>
        <w:rPr>
          <w:rFonts w:hint="eastAsia" w:ascii="Times New Roman" w:hAnsi="Times New Roman" w:cs="Times New Roman"/>
        </w:rPr>
        <w:t>The limitations of this study are as follows. First, the participants in this study were recruited from one kindergarten in eastern China, which might not be suitable for inferring the results for children with different backgrounds. Second, this study was implemented on a limited intervention period without evaluating the long-term effects of interventions. Based on the findings and discussions, several suggestions are provided for follow-up studies:</w:t>
      </w:r>
    </w:p>
    <w:p w14:paraId="2CBBFF24">
      <w:pPr>
        <w:pStyle w:val="20"/>
        <w:numPr>
          <w:ilvl w:val="0"/>
          <w:numId w:val="4"/>
        </w:numPr>
        <w:adjustRightInd w:val="0"/>
        <w:snapToGrid w:val="0"/>
        <w:spacing w:line="360" w:lineRule="auto"/>
        <w:ind w:left="567" w:leftChars="0"/>
        <w:jc w:val="both"/>
        <w:rPr>
          <w:rFonts w:ascii="Times New Roman" w:hAnsi="Times New Roman" w:cs="Times New Roman"/>
        </w:rPr>
      </w:pPr>
      <w:r>
        <w:rPr>
          <w:rFonts w:hint="eastAsia" w:ascii="Times New Roman" w:hAnsi="Times New Roman" w:cs="Times New Roman"/>
        </w:rPr>
        <w:t xml:space="preserve">Future works can seek to expand the age groups and diversity of participants to explore the possibility of using the </w:t>
      </w:r>
      <w:r>
        <w:rPr>
          <w:rFonts w:ascii="Times New Roman" w:hAnsi="Times New Roman" w:cs="Times New Roman"/>
        </w:rPr>
        <w:t>MRP</w:t>
      </w:r>
      <w:r>
        <w:rPr>
          <w:rFonts w:hint="eastAsia" w:ascii="Times New Roman" w:hAnsi="Times New Roman" w:cs="Times New Roman"/>
        </w:rPr>
        <w:t xml:space="preserve"> approach to foster learners</w:t>
      </w:r>
      <w:r>
        <w:rPr>
          <w:rFonts w:ascii="Times New Roman" w:hAnsi="Times New Roman" w:cs="Times New Roman"/>
        </w:rPr>
        <w:t>’</w:t>
      </w:r>
      <w:r>
        <w:rPr>
          <w:rFonts w:hint="eastAsia" w:ascii="Times New Roman" w:hAnsi="Times New Roman" w:cs="Times New Roman"/>
        </w:rPr>
        <w:t xml:space="preserve"> CT</w:t>
      </w:r>
      <w:r>
        <w:rPr>
          <w:rFonts w:ascii="Times New Roman" w:hAnsi="Times New Roman" w:cs="Times New Roman"/>
        </w:rPr>
        <w:t>.</w:t>
      </w:r>
    </w:p>
    <w:p w14:paraId="70CD62C0">
      <w:pPr>
        <w:pStyle w:val="20"/>
        <w:numPr>
          <w:ilvl w:val="0"/>
          <w:numId w:val="4"/>
        </w:numPr>
        <w:adjustRightInd w:val="0"/>
        <w:snapToGrid w:val="0"/>
        <w:spacing w:line="360" w:lineRule="auto"/>
        <w:ind w:left="567" w:leftChars="0"/>
        <w:jc w:val="both"/>
        <w:rPr>
          <w:rFonts w:ascii="Times New Roman" w:hAnsi="Times New Roman" w:cs="Times New Roman"/>
        </w:rPr>
      </w:pPr>
      <w:r>
        <w:rPr>
          <w:rFonts w:hint="eastAsia" w:ascii="Times New Roman" w:hAnsi="Times New Roman" w:cs="Times New Roman"/>
        </w:rPr>
        <w:t>As present and prior research has used metaphors to teach children CT in robot and screen-based programming settings, future works can compare the effect of metaphors in different programming environments on children</w:t>
      </w:r>
      <w:r>
        <w:rPr>
          <w:rFonts w:ascii="Times New Roman" w:hAnsi="Times New Roman" w:cs="Times New Roman"/>
          <w:lang w:eastAsia="zh-CN"/>
        </w:rPr>
        <w:t>’</w:t>
      </w:r>
      <w:r>
        <w:rPr>
          <w:rFonts w:hint="eastAsia" w:ascii="Times New Roman" w:hAnsi="Times New Roman" w:cs="Times New Roman"/>
        </w:rPr>
        <w:t>s CT</w:t>
      </w:r>
      <w:r>
        <w:rPr>
          <w:rFonts w:hint="eastAsia" w:ascii="Times New Roman" w:hAnsi="Times New Roman" w:cs="Times New Roman"/>
          <w:lang w:eastAsia="zh-CN"/>
        </w:rPr>
        <w:t>.</w:t>
      </w:r>
      <w:r>
        <w:rPr>
          <w:rFonts w:hint="eastAsia" w:ascii="Times New Roman" w:hAnsi="Times New Roman" w:cs="Times New Roman"/>
        </w:rPr>
        <w:t xml:space="preserve"> In addition, more turns of CT assessment can be considered</w:t>
      </w:r>
      <w:r>
        <w:rPr>
          <w:rFonts w:hint="eastAsia" w:ascii="Times New Roman" w:hAnsi="Times New Roman" w:cs="Times New Roman"/>
          <w:lang w:eastAsia="zh-CN"/>
        </w:rPr>
        <w:t xml:space="preserve"> </w:t>
      </w:r>
      <w:r>
        <w:rPr>
          <w:rFonts w:hint="eastAsia" w:ascii="Times New Roman" w:hAnsi="Times New Roman" w:cs="Times New Roman"/>
        </w:rPr>
        <w:t xml:space="preserve">to explore the long-term impacts of the metaphor-based programming approach </w:t>
      </w:r>
      <w:r>
        <w:rPr>
          <w:rFonts w:hint="eastAsia" w:ascii="Times New Roman" w:hAnsi="Times New Roman" w:cs="Times New Roman"/>
          <w:lang w:eastAsia="zh-CN"/>
        </w:rPr>
        <w:t>on</w:t>
      </w:r>
      <w:r>
        <w:rPr>
          <w:rFonts w:hint="eastAsia" w:ascii="Times New Roman" w:hAnsi="Times New Roman" w:cs="Times New Roman"/>
        </w:rPr>
        <w:t xml:space="preserve"> children</w:t>
      </w:r>
      <w:r>
        <w:rPr>
          <w:rFonts w:ascii="Times New Roman" w:hAnsi="Times New Roman" w:cs="Times New Roman"/>
        </w:rPr>
        <w:t>’</w:t>
      </w:r>
      <w:r>
        <w:rPr>
          <w:rFonts w:hint="eastAsia" w:ascii="Times New Roman" w:hAnsi="Times New Roman" w:cs="Times New Roman"/>
        </w:rPr>
        <w:t>s CT</w:t>
      </w:r>
      <w:r>
        <w:rPr>
          <w:rFonts w:ascii="Times New Roman" w:hAnsi="Times New Roman" w:cs="Times New Roman"/>
        </w:rPr>
        <w:t>.</w:t>
      </w:r>
    </w:p>
    <w:p w14:paraId="0E27CDAA">
      <w:pPr>
        <w:pStyle w:val="20"/>
        <w:numPr>
          <w:ilvl w:val="0"/>
          <w:numId w:val="4"/>
        </w:numPr>
        <w:adjustRightInd w:val="0"/>
        <w:snapToGrid w:val="0"/>
        <w:spacing w:line="360" w:lineRule="auto"/>
        <w:ind w:left="567" w:leftChars="0"/>
        <w:jc w:val="both"/>
        <w:rPr>
          <w:rFonts w:ascii="Times New Roman" w:hAnsi="Times New Roman" w:cs="Times New Roman"/>
          <w:color w:val="C00000"/>
        </w:rPr>
      </w:pPr>
      <w:r>
        <w:rPr>
          <w:rFonts w:hint="eastAsia" w:ascii="Times New Roman" w:hAnsi="Times New Roman" w:cs="Times New Roman"/>
          <w:color w:val="C00000"/>
          <w:lang w:eastAsia="zh-CN"/>
        </w:rPr>
        <w:t xml:space="preserve">As this study revealed the effectiveness of the MRP approach </w:t>
      </w:r>
      <w:r>
        <w:rPr>
          <w:rFonts w:ascii="Times New Roman" w:hAnsi="Times New Roman" w:cs="Times New Roman"/>
          <w:color w:val="C00000"/>
          <w:lang w:eastAsia="zh-CN"/>
        </w:rPr>
        <w:t>in terms of</w:t>
      </w:r>
      <w:r>
        <w:rPr>
          <w:rFonts w:hint="eastAsia" w:ascii="Times New Roman" w:hAnsi="Times New Roman" w:cs="Times New Roman"/>
          <w:color w:val="C00000"/>
          <w:lang w:eastAsia="zh-CN"/>
        </w:rPr>
        <w:t xml:space="preserve"> children</w:t>
      </w:r>
      <w:r>
        <w:rPr>
          <w:rFonts w:ascii="Times New Roman" w:hAnsi="Times New Roman" w:cs="Times New Roman"/>
          <w:color w:val="C00000"/>
          <w:lang w:eastAsia="zh-CN"/>
        </w:rPr>
        <w:t>’</w:t>
      </w:r>
      <w:r>
        <w:rPr>
          <w:rFonts w:hint="eastAsia" w:ascii="Times New Roman" w:hAnsi="Times New Roman" w:cs="Times New Roman"/>
          <w:color w:val="C00000"/>
          <w:lang w:eastAsia="zh-CN"/>
        </w:rPr>
        <w:t>s CT, i</w:t>
      </w:r>
      <w:r>
        <w:rPr>
          <w:rFonts w:hint="eastAsia" w:ascii="Times New Roman" w:eastAsia="等线"/>
          <w:color w:val="C00000"/>
          <w:lang w:eastAsia="zh-CN"/>
        </w:rPr>
        <w:t>t is suggested that future research can explore the effects of the MRP approach on children</w:t>
      </w:r>
      <w:r>
        <w:rPr>
          <w:rFonts w:ascii="Times New Roman" w:eastAsia="等线"/>
          <w:color w:val="C00000"/>
          <w:lang w:eastAsia="zh-CN"/>
        </w:rPr>
        <w:t xml:space="preserve"> with different characteristics</w:t>
      </w:r>
      <w:r>
        <w:rPr>
          <w:rFonts w:hint="eastAsia" w:ascii="Times New Roman" w:eastAsia="等线"/>
          <w:color w:val="C00000"/>
          <w:lang w:eastAsia="zh-CN"/>
        </w:rPr>
        <w:t xml:space="preserve"> (e.g., gender, programming experience, etc.)</w:t>
      </w:r>
      <w:r>
        <w:rPr>
          <w:rFonts w:ascii="Times New Roman" w:eastAsia="等线"/>
          <w:color w:val="C00000"/>
          <w:lang w:eastAsia="zh-CN"/>
        </w:rPr>
        <w:t>.</w:t>
      </w:r>
    </w:p>
    <w:p w14:paraId="577AFB6A">
      <w:pPr>
        <w:pStyle w:val="20"/>
        <w:numPr>
          <w:ilvl w:val="0"/>
          <w:numId w:val="4"/>
        </w:numPr>
        <w:adjustRightInd w:val="0"/>
        <w:snapToGrid w:val="0"/>
        <w:spacing w:line="360" w:lineRule="auto"/>
        <w:ind w:left="567" w:leftChars="0"/>
        <w:jc w:val="both"/>
        <w:rPr>
          <w:rFonts w:ascii="Times New Roman" w:hAnsi="Times New Roman" w:cs="Times New Roman"/>
        </w:rPr>
      </w:pPr>
      <w:r>
        <w:rPr>
          <w:rFonts w:hint="eastAsia" w:ascii="Times New Roman" w:hAnsi="Times New Roman" w:cs="Times New Roman"/>
        </w:rPr>
        <w:t xml:space="preserve">Other researchers can design </w:t>
      </w:r>
      <w:r>
        <w:rPr>
          <w:rFonts w:ascii="Times New Roman" w:hAnsi="Times New Roman" w:cs="Times New Roman"/>
        </w:rPr>
        <w:t xml:space="preserve">more learner-centered </w:t>
      </w:r>
      <w:r>
        <w:rPr>
          <w:rFonts w:hint="eastAsia" w:ascii="Times New Roman" w:hAnsi="Times New Roman" w:cs="Times New Roman"/>
        </w:rPr>
        <w:t>metaphors based on daily problem-solving scenarios that align with children</w:t>
      </w:r>
      <w:r>
        <w:rPr>
          <w:rFonts w:ascii="Times New Roman" w:hAnsi="Times New Roman" w:cs="Times New Roman"/>
        </w:rPr>
        <w:t>’</w:t>
      </w:r>
      <w:r>
        <w:rPr>
          <w:rFonts w:hint="eastAsia" w:ascii="Times New Roman" w:hAnsi="Times New Roman" w:cs="Times New Roman"/>
        </w:rPr>
        <w:t>s interests and cognitive development</w:t>
      </w:r>
      <w:r>
        <w:rPr>
          <w:rFonts w:ascii="Times New Roman" w:hAnsi="Times New Roman" w:cs="Times New Roman"/>
        </w:rPr>
        <w:t>.</w:t>
      </w:r>
    </w:p>
    <w:p w14:paraId="6CFBC321">
      <w:pPr>
        <w:pStyle w:val="20"/>
        <w:numPr>
          <w:ilvl w:val="0"/>
          <w:numId w:val="4"/>
        </w:numPr>
        <w:adjustRightInd w:val="0"/>
        <w:snapToGrid w:val="0"/>
        <w:spacing w:line="360" w:lineRule="auto"/>
        <w:ind w:left="567" w:leftChars="0"/>
        <w:jc w:val="both"/>
        <w:rPr>
          <w:rFonts w:ascii="Times New Roman" w:hAnsi="Times New Roman" w:cs="Times New Roman"/>
        </w:rPr>
      </w:pPr>
      <w:r>
        <w:rPr>
          <w:rFonts w:hint="eastAsia" w:ascii="Times New Roman" w:hAnsi="Times New Roman" w:cs="Times New Roman"/>
        </w:rPr>
        <w:t xml:space="preserve">It is worth noting that children in </w:t>
      </w:r>
      <w:r>
        <w:rPr>
          <w:rFonts w:ascii="Times New Roman" w:hAnsi="Times New Roman" w:cs="Times New Roman"/>
        </w:rPr>
        <w:t xml:space="preserve">the </w:t>
      </w:r>
      <w:r>
        <w:rPr>
          <w:rFonts w:hint="eastAsia" w:ascii="Times New Roman" w:hAnsi="Times New Roman" w:cs="Times New Roman"/>
        </w:rPr>
        <w:t>two groups exhibited more or less irrelevant behaviors during the learning procedure. Hence, how to promote children</w:t>
      </w:r>
      <w:r>
        <w:rPr>
          <w:rFonts w:ascii="Times New Roman Regular" w:hAnsi="Times New Roman Regular" w:cs="Times New Roman Regular"/>
        </w:rPr>
        <w:t>’</w:t>
      </w:r>
      <w:r>
        <w:rPr>
          <w:rFonts w:hint="eastAsia" w:ascii="Times New Roman" w:hAnsi="Times New Roman" w:cs="Times New Roman"/>
        </w:rPr>
        <w:t>s self-regulation or engagement in robot programming learning is worth exploring.</w:t>
      </w:r>
    </w:p>
    <w:p w14:paraId="79D853F2">
      <w:pPr>
        <w:pStyle w:val="20"/>
        <w:numPr>
          <w:ilvl w:val="0"/>
          <w:numId w:val="4"/>
        </w:numPr>
        <w:adjustRightInd w:val="0"/>
        <w:snapToGrid w:val="0"/>
        <w:spacing w:line="360" w:lineRule="auto"/>
        <w:ind w:left="567" w:leftChars="0"/>
        <w:jc w:val="both"/>
        <w:rPr>
          <w:rFonts w:ascii="Times New Roman" w:hAnsi="Times New Roman" w:cs="Times New Roman"/>
        </w:rPr>
      </w:pPr>
      <w:r>
        <w:rPr>
          <w:rFonts w:hint="eastAsia" w:ascii="Times New Roman" w:hAnsi="Times New Roman" w:cs="Times New Roman"/>
        </w:rPr>
        <w:t>As research on children</w:t>
      </w:r>
      <w:r>
        <w:rPr>
          <w:rFonts w:ascii="Times New Roman" w:hAnsi="Times New Roman" w:cs="Times New Roman"/>
          <w:lang w:eastAsia="zh-CN"/>
        </w:rPr>
        <w:t>’</w:t>
      </w:r>
      <w:r>
        <w:rPr>
          <w:rFonts w:hint="eastAsia" w:ascii="Times New Roman" w:hAnsi="Times New Roman" w:cs="Times New Roman"/>
        </w:rPr>
        <w:t>s programming and CT education is still in its early stage, future work can continue to develop more effective programming teaching approaches to develop children</w:t>
      </w:r>
      <w:r>
        <w:rPr>
          <w:rFonts w:ascii="Times New Roman" w:hAnsi="Times New Roman" w:cs="Times New Roman"/>
          <w:lang w:eastAsia="zh-CN"/>
        </w:rPr>
        <w:t>’</w:t>
      </w:r>
      <w:r>
        <w:rPr>
          <w:rFonts w:hint="eastAsia" w:ascii="Times New Roman" w:hAnsi="Times New Roman" w:cs="Times New Roman"/>
        </w:rPr>
        <w:t>s CT.</w:t>
      </w:r>
    </w:p>
    <w:p w14:paraId="5F8B4C12">
      <w:pPr>
        <w:widowControl/>
        <w:adjustRightInd w:val="0"/>
        <w:snapToGrid w:val="0"/>
        <w:spacing w:line="360" w:lineRule="auto"/>
        <w:jc w:val="both"/>
        <w:rPr>
          <w:rFonts w:ascii="Times New Roman" w:hAnsi="Times New Roman" w:cs="Times New Roman"/>
        </w:rPr>
      </w:pPr>
    </w:p>
    <w:p w14:paraId="4B170474">
      <w:pPr>
        <w:spacing w:line="360" w:lineRule="auto"/>
        <w:rPr>
          <w:rFonts w:ascii="Times New Roman" w:hAnsi="Times New Roman" w:cs="Times New Roman"/>
          <w:szCs w:val="24"/>
        </w:rPr>
      </w:pPr>
      <w:r>
        <w:rPr>
          <w:rFonts w:ascii="Times New Roman" w:hAnsi="Times New Roman" w:cs="Times New Roman"/>
          <w:b/>
          <w:sz w:val="28"/>
          <w:szCs w:val="28"/>
        </w:rPr>
        <w:t>References</w:t>
      </w:r>
    </w:p>
    <w:p w14:paraId="4395A349">
      <w:pPr>
        <w:spacing w:line="360" w:lineRule="auto"/>
        <w:ind w:left="480" w:hanging="480" w:hangingChars="200"/>
        <w:rPr>
          <w:rFonts w:ascii="Times New Roman" w:hAnsi="Times New Roman" w:cs="Times New Roman"/>
          <w:szCs w:val="24"/>
          <w:shd w:val="clear" w:color="auto" w:fill="FFFFFF"/>
        </w:rPr>
      </w:pPr>
      <w:r>
        <w:rPr>
          <w:rFonts w:ascii="Times New Roman" w:hAnsi="Times New Roman" w:cs="Times New Roman"/>
          <w:szCs w:val="24"/>
          <w:shd w:val="clear" w:color="auto" w:fill="FFFFFF"/>
        </w:rPr>
        <w:t>Angeli, C., &amp; Giannakos, M. (2020). Computational thinking education: Issues and challenges. </w:t>
      </w:r>
      <w:r>
        <w:rPr>
          <w:rFonts w:ascii="Times New Roman Italic" w:hAnsi="Times New Roman Italic" w:cs="Times New Roman Italic"/>
          <w:i/>
          <w:iCs/>
          <w:szCs w:val="24"/>
          <w:shd w:val="clear" w:color="auto" w:fill="FFFFFF"/>
        </w:rPr>
        <w:t>Computers in Human Behavior, 105</w:t>
      </w:r>
      <w:r>
        <w:rPr>
          <w:rFonts w:ascii="Times New Roman" w:hAnsi="Times New Roman" w:cs="Times New Roman"/>
          <w:szCs w:val="24"/>
          <w:shd w:val="clear" w:color="auto" w:fill="FFFFFF"/>
        </w:rPr>
        <w:t>, 106185. https://doi.org/10.1016/j.chb.2019.106185</w:t>
      </w:r>
    </w:p>
    <w:p w14:paraId="268E43CB">
      <w:pPr>
        <w:spacing w:line="360" w:lineRule="auto"/>
        <w:ind w:left="480" w:hanging="480" w:hangingChars="200"/>
        <w:rPr>
          <w:rFonts w:ascii="Times New Roman" w:hAnsi="Times New Roman" w:cs="Times New Roman"/>
          <w:szCs w:val="24"/>
          <w:shd w:val="clear" w:color="auto" w:fill="FFFFFF"/>
        </w:rPr>
      </w:pPr>
      <w:r>
        <w:rPr>
          <w:rFonts w:ascii="Times New Roman" w:hAnsi="Times New Roman" w:cs="Times New Roman"/>
          <w:szCs w:val="24"/>
          <w:shd w:val="clear" w:color="auto" w:fill="FFFFFF"/>
        </w:rPr>
        <w:t>Angeli, C., &amp; Valanides, N. (2020). Developing young children’s computational thinking with educational robotics: An interaction effect between gender and scaffolding strategy. </w:t>
      </w:r>
      <w:r>
        <w:rPr>
          <w:rFonts w:ascii="Times New Roman Italic" w:hAnsi="Times New Roman Italic" w:cs="Times New Roman Italic"/>
          <w:i/>
          <w:iCs/>
          <w:szCs w:val="24"/>
          <w:shd w:val="clear" w:color="auto" w:fill="FFFFFF"/>
        </w:rPr>
        <w:t>Computers in Human Behavior, 105</w:t>
      </w:r>
      <w:r>
        <w:rPr>
          <w:rFonts w:ascii="Times New Roman" w:hAnsi="Times New Roman" w:cs="Times New Roman"/>
          <w:szCs w:val="24"/>
          <w:shd w:val="clear" w:color="auto" w:fill="FFFFFF"/>
        </w:rPr>
        <w:t xml:space="preserve">, 105954. </w:t>
      </w:r>
      <w:r>
        <w:fldChar w:fldCharType="begin"/>
      </w:r>
      <w:r>
        <w:instrText xml:space="preserve"> HYPERLINK "https://doi.org/10.1016/j.chb.2019.03.018" </w:instrText>
      </w:r>
      <w:r>
        <w:fldChar w:fldCharType="separate"/>
      </w:r>
      <w:r>
        <w:rPr>
          <w:rFonts w:ascii="Times New Roman" w:hAnsi="Times New Roman" w:cs="Times New Roman"/>
          <w:szCs w:val="24"/>
          <w:shd w:val="clear" w:color="auto" w:fill="FFFFFF"/>
        </w:rPr>
        <w:t>https://doi.org/10.1016/j.chb.2019.03.018</w:t>
      </w:r>
      <w:r>
        <w:rPr>
          <w:rFonts w:ascii="Times New Roman" w:hAnsi="Times New Roman" w:cs="Times New Roman"/>
          <w:szCs w:val="24"/>
          <w:shd w:val="clear" w:color="auto" w:fill="FFFFFF"/>
        </w:rPr>
        <w:fldChar w:fldCharType="end"/>
      </w:r>
    </w:p>
    <w:p w14:paraId="4066E2D4">
      <w:pPr>
        <w:spacing w:before="120" w:line="360" w:lineRule="auto"/>
        <w:ind w:left="720" w:hanging="720"/>
        <w:contextualSpacing/>
        <w:rPr>
          <w:rFonts w:ascii="Times New Roman" w:hAnsi="Times New Roman" w:eastAsia="Times New Roman" w:cs="Times New Roman"/>
          <w:szCs w:val="24"/>
          <w:lang w:val="en-GB"/>
        </w:rPr>
      </w:pPr>
      <w:r>
        <w:rPr>
          <w:rFonts w:ascii="Times New Roman" w:hAnsi="Times New Roman" w:cs="Times New Roman"/>
          <w:szCs w:val="24"/>
          <w:shd w:val="clear" w:color="auto" w:fill="FFFFFF"/>
        </w:rPr>
        <w:t>Arfé, B., Vardanega, T., &amp; Ronconi, L. (2020). The effects of coding on children’s planning and inhibition skills. </w:t>
      </w:r>
      <w:r>
        <w:rPr>
          <w:rFonts w:ascii="Times New Roman Italic" w:hAnsi="Times New Roman Italic" w:cs="Times New Roman Italic"/>
          <w:i/>
          <w:iCs/>
          <w:szCs w:val="24"/>
          <w:shd w:val="clear" w:color="auto" w:fill="FFFFFF"/>
        </w:rPr>
        <w:t>Computers &amp; Education, 148</w:t>
      </w:r>
      <w:r>
        <w:rPr>
          <w:rFonts w:ascii="Times New Roman" w:hAnsi="Times New Roman" w:cs="Times New Roman"/>
          <w:szCs w:val="24"/>
          <w:shd w:val="clear" w:color="auto" w:fill="FFFFFF"/>
        </w:rPr>
        <w:t xml:space="preserve">, 103807. </w:t>
      </w:r>
      <w:r>
        <w:fldChar w:fldCharType="begin"/>
      </w:r>
      <w:r>
        <w:instrText xml:space="preserve"> HYPERLINK "https://doi.org/10.1016/j.compedu.2020.103807" </w:instrText>
      </w:r>
      <w:r>
        <w:fldChar w:fldCharType="separate"/>
      </w:r>
      <w:r>
        <w:rPr>
          <w:rFonts w:ascii="Times New Roman" w:hAnsi="Times New Roman" w:cs="Times New Roman"/>
          <w:szCs w:val="24"/>
          <w:shd w:val="clear" w:color="auto" w:fill="FFFFFF"/>
        </w:rPr>
        <w:t>https://doi.org/10.1016/j.compedu.2020.103807</w:t>
      </w:r>
      <w:r>
        <w:rPr>
          <w:rFonts w:ascii="Times New Roman" w:hAnsi="Times New Roman" w:cs="Times New Roman"/>
          <w:szCs w:val="24"/>
          <w:shd w:val="clear" w:color="auto" w:fill="FFFFFF"/>
        </w:rPr>
        <w:fldChar w:fldCharType="end"/>
      </w:r>
    </w:p>
    <w:p w14:paraId="4A288EC8">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Bakala, E., Gerosa, A., Hourcade, J. P., &amp; Tejera, G. (2021). Preschool children, robots, and computational thinking: A systematic review. </w:t>
      </w:r>
      <w:r>
        <w:rPr>
          <w:rFonts w:hint="eastAsia" w:ascii="Times New Roman Italic" w:hAnsi="Times New Roman Italic" w:eastAsia="Times New Roman" w:cs="Times New Roman Italic"/>
          <w:i/>
          <w:iCs/>
          <w:szCs w:val="24"/>
          <w:lang w:val="en-GB"/>
        </w:rPr>
        <w:t>International Journal of Child-Computer Interaction, 29</w:t>
      </w:r>
      <w:r>
        <w:rPr>
          <w:rFonts w:hint="eastAsia" w:ascii="Times New Roman" w:hAnsi="Times New Roman" w:eastAsia="Times New Roman" w:cs="Times New Roman"/>
          <w:szCs w:val="24"/>
          <w:lang w:val="en-GB"/>
        </w:rPr>
        <w:t xml:space="preserve">, 100337. </w:t>
      </w:r>
      <w:r>
        <w:fldChar w:fldCharType="begin"/>
      </w:r>
      <w:r>
        <w:instrText xml:space="preserve"> HYPERLINK "https://doi.org/10.1016/j.ijcci.2021.100337" </w:instrText>
      </w:r>
      <w:r>
        <w:fldChar w:fldCharType="separate"/>
      </w:r>
      <w:r>
        <w:rPr>
          <w:rFonts w:hint="eastAsia" w:ascii="Times New Roman" w:hAnsi="Times New Roman" w:eastAsia="Times New Roman" w:cs="Times New Roman"/>
          <w:szCs w:val="24"/>
          <w:lang w:val="en-GB"/>
        </w:rPr>
        <w:t>https://doi.org/10.1016/j.ijcci.2021.100337</w:t>
      </w:r>
      <w:r>
        <w:rPr>
          <w:rFonts w:hint="eastAsia" w:ascii="Times New Roman" w:hAnsi="Times New Roman" w:eastAsia="Times New Roman" w:cs="Times New Roman"/>
          <w:szCs w:val="24"/>
          <w:lang w:val="en-GB"/>
        </w:rPr>
        <w:fldChar w:fldCharType="end"/>
      </w:r>
    </w:p>
    <w:p w14:paraId="3A4DD8CE">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Bakeman, R., &amp; Gottman, J. M. (1997). Observing interaction: An introduction to sequential analysis (2nd ed.). Cambridge: Cambridge University Press.</w:t>
      </w:r>
    </w:p>
    <w:p w14:paraId="4D0178D6">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Bas, M., &amp; Gezegin, B. B. (2017). Metaphors of English as a foreign language.</w:t>
      </w:r>
      <w:r>
        <w:rPr>
          <w:rFonts w:hint="eastAsia" w:ascii="Times New Roman Italic" w:hAnsi="Times New Roman Italic" w:eastAsia="Times New Roman" w:cs="Times New Roman Italic"/>
          <w:i/>
          <w:iCs/>
          <w:szCs w:val="24"/>
          <w:lang w:val="en-GB"/>
        </w:rPr>
        <w:t> Global Journal of Foreign Language Teaching, 7</w:t>
      </w:r>
      <w:r>
        <w:rPr>
          <w:rFonts w:hint="eastAsia" w:ascii="Times New Roman" w:hAnsi="Times New Roman" w:eastAsia="Times New Roman" w:cs="Times New Roman"/>
          <w:szCs w:val="24"/>
          <w:lang w:val="en-GB"/>
        </w:rPr>
        <w:t>(1), 2–8. https://doi.org/10.18844/gjflt.v7i1.2403</w:t>
      </w:r>
    </w:p>
    <w:p w14:paraId="502968F6">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Bati, K. (2021). A systematic literature review regarding computational thinking and programming in early childhood education. </w:t>
      </w:r>
      <w:r>
        <w:rPr>
          <w:rFonts w:hint="eastAsia" w:ascii="Times New Roman Italic" w:hAnsi="Times New Roman Italic" w:eastAsia="Times New Roman" w:cs="Times New Roman Italic"/>
          <w:i/>
          <w:iCs/>
          <w:szCs w:val="24"/>
          <w:lang w:val="en-GB"/>
        </w:rPr>
        <w:t>Education and Information Technologies, 27</w:t>
      </w:r>
      <w:r>
        <w:rPr>
          <w:rFonts w:hint="eastAsia" w:ascii="Times New Roman" w:hAnsi="Times New Roman" w:eastAsia="Times New Roman" w:cs="Times New Roman"/>
          <w:szCs w:val="24"/>
          <w:lang w:val="en-GB"/>
        </w:rPr>
        <w:t xml:space="preserve">(2), 2059–2082. </w:t>
      </w:r>
      <w:r>
        <w:fldChar w:fldCharType="begin"/>
      </w:r>
      <w:r>
        <w:instrText xml:space="preserve"> HYPERLINK "https://doi.org/10.1007/s10639-021-10700-2" </w:instrText>
      </w:r>
      <w:r>
        <w:fldChar w:fldCharType="separate"/>
      </w:r>
      <w:r>
        <w:rPr>
          <w:rFonts w:hint="eastAsia" w:ascii="Times New Roman" w:hAnsi="Times New Roman" w:eastAsia="Times New Roman" w:cs="Times New Roman"/>
          <w:szCs w:val="24"/>
          <w:lang w:val="en-GB"/>
        </w:rPr>
        <w:t>https://doi.org/10.1007/s10639-021-10700-2</w:t>
      </w:r>
      <w:r>
        <w:rPr>
          <w:rFonts w:hint="eastAsia" w:ascii="Times New Roman" w:hAnsi="Times New Roman" w:eastAsia="Times New Roman" w:cs="Times New Roman"/>
          <w:szCs w:val="24"/>
          <w:lang w:val="en-GB"/>
        </w:rPr>
        <w:fldChar w:fldCharType="end"/>
      </w:r>
    </w:p>
    <w:p w14:paraId="139B896E">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Bers, M. U. (2018). Coding as a playground: Programming and computational thinking in the early childhood classroom. New York and London: Routledge.</w:t>
      </w:r>
    </w:p>
    <w:p w14:paraId="4645B897">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Bers, M. U. (2019). Coding as another language: A pedagogical approach for teaching computer science in early childhood.</w:t>
      </w:r>
      <w:r>
        <w:rPr>
          <w:rFonts w:hint="eastAsia" w:ascii="Times New Roman Italic" w:hAnsi="Times New Roman Italic" w:eastAsia="Times New Roman" w:cs="Times New Roman Italic"/>
          <w:i/>
          <w:iCs/>
          <w:szCs w:val="24"/>
          <w:lang w:val="en-GB"/>
        </w:rPr>
        <w:t> Journal of Computers in Education, 6</w:t>
      </w:r>
      <w:r>
        <w:rPr>
          <w:rFonts w:hint="eastAsia" w:ascii="Times New Roman" w:hAnsi="Times New Roman" w:eastAsia="Times New Roman" w:cs="Times New Roman"/>
          <w:szCs w:val="24"/>
          <w:lang w:val="en-GB"/>
        </w:rPr>
        <w:t xml:space="preserve">(4), 499–528. </w:t>
      </w:r>
      <w:r>
        <w:fldChar w:fldCharType="begin"/>
      </w:r>
      <w:r>
        <w:instrText xml:space="preserve"> HYPERLINK "https://doi.org/10.1007/s40692-019-00147-3" </w:instrText>
      </w:r>
      <w:r>
        <w:fldChar w:fldCharType="separate"/>
      </w:r>
      <w:r>
        <w:rPr>
          <w:rFonts w:hint="eastAsia" w:ascii="Times New Roman" w:hAnsi="Times New Roman" w:eastAsia="Times New Roman" w:cs="Times New Roman"/>
          <w:szCs w:val="24"/>
          <w:lang w:val="en-GB"/>
        </w:rPr>
        <w:t>https://doi.org/10.1007/s40692-019-00147-3</w:t>
      </w:r>
      <w:r>
        <w:rPr>
          <w:rFonts w:hint="eastAsia" w:ascii="Times New Roman" w:hAnsi="Times New Roman" w:eastAsia="Times New Roman" w:cs="Times New Roman"/>
          <w:szCs w:val="24"/>
          <w:lang w:val="en-GB"/>
        </w:rPr>
        <w:fldChar w:fldCharType="end"/>
      </w:r>
    </w:p>
    <w:p w14:paraId="249A5277">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Bers, M. U., Flannery, L., Kazakoff, E. R., &amp; Sullivan, A. (2014). Computational thinking and tinkering: Exploration of an early childhood robotics curriculum. </w:t>
      </w:r>
      <w:r>
        <w:rPr>
          <w:rFonts w:hint="eastAsia" w:ascii="Times New Roman Italic" w:hAnsi="Times New Roman Italic" w:eastAsia="Times New Roman" w:cs="Times New Roman Italic"/>
          <w:i/>
          <w:iCs/>
          <w:szCs w:val="24"/>
          <w:lang w:val="en-GB"/>
        </w:rPr>
        <w:t>Computers &amp; Education, 72</w:t>
      </w:r>
      <w:r>
        <w:rPr>
          <w:rFonts w:hint="eastAsia" w:ascii="Times New Roman" w:hAnsi="Times New Roman" w:eastAsia="Times New Roman" w:cs="Times New Roman"/>
          <w:szCs w:val="24"/>
          <w:lang w:val="en-GB"/>
        </w:rPr>
        <w:t>, 145–157. https://doi.org/10.1016/j.compedu.2013.10.020</w:t>
      </w:r>
    </w:p>
    <w:p w14:paraId="16122C9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Bers, M. U., González-González, C., &amp; Armas-Torres, M. B. (2019). Coding as a playground: Promoting positive learning experiences in childhood classrooms. </w:t>
      </w:r>
      <w:r>
        <w:rPr>
          <w:rFonts w:hint="eastAsia" w:ascii="Times New Roman Italic" w:hAnsi="Times New Roman Italic" w:eastAsia="Times New Roman" w:cs="Times New Roman Italic"/>
          <w:i/>
          <w:iCs/>
          <w:szCs w:val="24"/>
          <w:lang w:val="en-GB"/>
        </w:rPr>
        <w:t>Computers &amp; Education, 138</w:t>
      </w:r>
      <w:r>
        <w:rPr>
          <w:rFonts w:hint="eastAsia" w:ascii="Times New Roman" w:hAnsi="Times New Roman" w:eastAsia="Times New Roman" w:cs="Times New Roman"/>
          <w:szCs w:val="24"/>
          <w:lang w:val="en-GB"/>
        </w:rPr>
        <w:t xml:space="preserve">, 130-145. </w:t>
      </w:r>
      <w:r>
        <w:fldChar w:fldCharType="begin"/>
      </w:r>
      <w:r>
        <w:instrText xml:space="preserve"> HYPERLINK "https://doi.org/10.1016/j.compedu.2019.04.013" </w:instrText>
      </w:r>
      <w:r>
        <w:fldChar w:fldCharType="separate"/>
      </w:r>
      <w:r>
        <w:rPr>
          <w:rFonts w:hint="eastAsia" w:ascii="Times New Roman" w:hAnsi="Times New Roman" w:eastAsia="Times New Roman" w:cs="Times New Roman"/>
          <w:szCs w:val="24"/>
          <w:lang w:val="en-GB"/>
        </w:rPr>
        <w:t>https://doi.org/10.1016/j.compedu.2019.04.013</w:t>
      </w:r>
      <w:r>
        <w:rPr>
          <w:rFonts w:hint="eastAsia" w:ascii="Times New Roman" w:hAnsi="Times New Roman" w:eastAsia="Times New Roman" w:cs="Times New Roman"/>
          <w:szCs w:val="24"/>
          <w:lang w:val="en-GB"/>
        </w:rPr>
        <w:fldChar w:fldCharType="end"/>
      </w:r>
    </w:p>
    <w:p w14:paraId="1A49B4B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Bers, M. U., Strawhacker, A., &amp; Sullivan, A. (2022). The state of the field of computational thinking in early childhood education. OECD Education Working Papers. </w:t>
      </w:r>
      <w:r>
        <w:fldChar w:fldCharType="begin"/>
      </w:r>
      <w:r>
        <w:instrText xml:space="preserve"> HYPERLINK "http://dx.doi.org/10.1787/3354387a-en" </w:instrText>
      </w:r>
      <w:r>
        <w:fldChar w:fldCharType="separate"/>
      </w:r>
      <w:r>
        <w:rPr>
          <w:rFonts w:hint="eastAsia" w:ascii="Times New Roman" w:hAnsi="Times New Roman" w:eastAsia="Times New Roman" w:cs="Times New Roman"/>
          <w:szCs w:val="24"/>
          <w:lang w:val="en-GB"/>
        </w:rPr>
        <w:t>http://dx.doi.org/10.1787/3354387a-en</w:t>
      </w:r>
      <w:r>
        <w:rPr>
          <w:rFonts w:hint="eastAsia" w:ascii="Times New Roman" w:hAnsi="Times New Roman" w:eastAsia="Times New Roman" w:cs="Times New Roman"/>
          <w:szCs w:val="24"/>
          <w:lang w:val="en-GB"/>
        </w:rPr>
        <w:fldChar w:fldCharType="end"/>
      </w:r>
    </w:p>
    <w:p w14:paraId="3DE67DDD">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Brennan, K., &amp; Resnick, M. (2012). New frameworks for studying and assessing the development of computational thinking. In Proceedings of the 2012 annual meeting of the American educational research association, Vancouver, Canada, 1-25. Retrieved from https://web.media.mit.edu/~kbrennan/files/Brennan_Resnick_ AERA2012_CT.pdf.</w:t>
      </w:r>
    </w:p>
    <w:p w14:paraId="518648C0">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Critten, V., Hagon, H., &amp; Messer, D. (2021). Can pre-school children learn programming and coding through guided play activities? A case study in computational thinking. </w:t>
      </w:r>
      <w:r>
        <w:rPr>
          <w:rFonts w:hint="eastAsia" w:ascii="Times New Roman Italic" w:hAnsi="Times New Roman Italic" w:eastAsia="Times New Roman" w:cs="Times New Roman Italic"/>
          <w:i/>
          <w:iCs/>
          <w:szCs w:val="24"/>
          <w:lang w:val="en-GB"/>
        </w:rPr>
        <w:t>Early Childhood Education Journal, 50</w:t>
      </w:r>
      <w:r>
        <w:rPr>
          <w:rFonts w:hint="eastAsia" w:ascii="Times New Roman" w:hAnsi="Times New Roman" w:eastAsia="Times New Roman" w:cs="Times New Roman"/>
          <w:szCs w:val="24"/>
          <w:lang w:val="en-GB"/>
        </w:rPr>
        <w:t xml:space="preserve">(6), 969–981. </w:t>
      </w:r>
      <w:r>
        <w:fldChar w:fldCharType="begin"/>
      </w:r>
      <w:r>
        <w:instrText xml:space="preserve"> HYPERLINK "https://doi.org/10.1007/s10643-021-01236-8" </w:instrText>
      </w:r>
      <w:r>
        <w:fldChar w:fldCharType="separate"/>
      </w:r>
      <w:r>
        <w:rPr>
          <w:rFonts w:hint="eastAsia" w:ascii="Times New Roman" w:hAnsi="Times New Roman" w:eastAsia="Times New Roman" w:cs="Times New Roman"/>
          <w:szCs w:val="24"/>
          <w:lang w:val="en-GB"/>
        </w:rPr>
        <w:t>https://doi.org/10.1007/s10643-021-01236-8</w:t>
      </w:r>
      <w:r>
        <w:rPr>
          <w:rFonts w:hint="eastAsia" w:ascii="Times New Roman" w:hAnsi="Times New Roman" w:eastAsia="Times New Roman" w:cs="Times New Roman"/>
          <w:szCs w:val="24"/>
          <w:lang w:val="en-GB"/>
        </w:rPr>
        <w:fldChar w:fldCharType="end"/>
      </w:r>
    </w:p>
    <w:p w14:paraId="02740AD2">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CSTA. (2011). Operational definition of computational thinking for K–12 education. Retrieved from </w:t>
      </w:r>
      <w:r>
        <w:fldChar w:fldCharType="begin"/>
      </w:r>
      <w:r>
        <w:instrText xml:space="preserve"> HYPERLINK "http://www.csta.acm.org/Curriculum/sub/CompThinking.html." </w:instrText>
      </w:r>
      <w:r>
        <w:fldChar w:fldCharType="separate"/>
      </w:r>
      <w:r>
        <w:rPr>
          <w:rFonts w:hint="eastAsia" w:ascii="Times New Roman" w:hAnsi="Times New Roman" w:eastAsia="Times New Roman" w:cs="Times New Roman"/>
          <w:szCs w:val="24"/>
          <w:lang w:val="en-GB"/>
        </w:rPr>
        <w:t>http://www.csta.acm.org/Curriculum/sub/CompThinking.html.</w:t>
      </w:r>
      <w:r>
        <w:rPr>
          <w:rFonts w:hint="eastAsia" w:ascii="Times New Roman" w:hAnsi="Times New Roman" w:eastAsia="Times New Roman" w:cs="Times New Roman"/>
          <w:szCs w:val="24"/>
          <w:lang w:val="en-GB"/>
        </w:rPr>
        <w:fldChar w:fldCharType="end"/>
      </w:r>
    </w:p>
    <w:p w14:paraId="65F9DCBC">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Di Lieto, M. C., Inguaggiato, E., Castro, E., Cecchi, F., Cioni, G., Dell’Omo, M., et al. (2017). Educational Robotics intervention on Executive Functions in preschool children: A pilot study. </w:t>
      </w:r>
      <w:r>
        <w:rPr>
          <w:rFonts w:hint="eastAsia" w:ascii="Times New Roman Italic" w:hAnsi="Times New Roman Italic" w:eastAsia="Times New Roman" w:cs="Times New Roman Italic"/>
          <w:i/>
          <w:iCs/>
          <w:szCs w:val="24"/>
          <w:lang w:val="en-GB"/>
        </w:rPr>
        <w:t>Computers in Human Behavior, 71</w:t>
      </w:r>
      <w:r>
        <w:rPr>
          <w:rFonts w:hint="eastAsia" w:ascii="Times New Roman" w:hAnsi="Times New Roman" w:eastAsia="Times New Roman" w:cs="Times New Roman"/>
          <w:szCs w:val="24"/>
          <w:lang w:val="en-GB"/>
        </w:rPr>
        <w:t>, 16–23. https://doi.org/10.1016/j.chb.2017.01.018</w:t>
      </w:r>
    </w:p>
    <w:p w14:paraId="4B346308">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Duffy, T. M. &amp; Jonassen, D. H. (1991). Constructivism: New implications for Instructional technology? </w:t>
      </w:r>
      <w:r>
        <w:rPr>
          <w:rFonts w:hint="eastAsia" w:ascii="Times New Roman Italic" w:hAnsi="Times New Roman Italic" w:eastAsia="Times New Roman" w:cs="Times New Roman Italic"/>
          <w:i/>
          <w:iCs/>
          <w:szCs w:val="24"/>
          <w:lang w:val="en-GB"/>
        </w:rPr>
        <w:t>Educational Technology, 31</w:t>
      </w:r>
      <w:r>
        <w:rPr>
          <w:rFonts w:hint="eastAsia" w:ascii="Times New Roman" w:hAnsi="Times New Roman" w:eastAsia="Times New Roman" w:cs="Times New Roman"/>
          <w:szCs w:val="24"/>
          <w:lang w:val="en-GB"/>
        </w:rPr>
        <w:t>(5), 7-12</w:t>
      </w:r>
    </w:p>
    <w:p w14:paraId="6E9C4BE6">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eastAsia="zh-CN"/>
        </w:rPr>
        <w:t>Fain, M. A. (2001).</w:t>
      </w:r>
      <w:r>
        <w:rPr>
          <w:rFonts w:hint="eastAsia" w:ascii="Times New Roman" w:hAnsi="Times New Roman" w:eastAsia="Times New Roman" w:cs="Times New Roman"/>
          <w:szCs w:val="24"/>
          <w:lang w:val="en-GB"/>
        </w:rPr>
        <w:t xml:space="preserve"> Metaphors for learning: A cognitive exercise for students. </w:t>
      </w:r>
      <w:r>
        <w:rPr>
          <w:rFonts w:hint="eastAsia" w:ascii="Times New Roman Italic" w:hAnsi="Times New Roman Italic" w:eastAsia="Times New Roman" w:cs="Times New Roman Italic"/>
          <w:i/>
          <w:iCs/>
          <w:szCs w:val="24"/>
          <w:lang w:val="en-GB"/>
        </w:rPr>
        <w:t>Research Strategies, 18</w:t>
      </w:r>
      <w:r>
        <w:rPr>
          <w:rFonts w:hint="eastAsia" w:ascii="Times New Roman" w:hAnsi="Times New Roman" w:eastAsia="Times New Roman" w:cs="Times New Roman"/>
          <w:szCs w:val="24"/>
          <w:lang w:val="en-GB"/>
        </w:rPr>
        <w:t xml:space="preserve">(1): 39–48. </w:t>
      </w:r>
      <w:r>
        <w:fldChar w:fldCharType="begin"/>
      </w:r>
      <w:r>
        <w:instrText xml:space="preserve"> HYPERLINK "https://doi.org/10.1016/S0734-3310(02)00066-6" \t "/Users/chenyuchen/Documentsx/_blank" \o "Persistent link using digital object identifier" </w:instrText>
      </w:r>
      <w:r>
        <w:fldChar w:fldCharType="separate"/>
      </w:r>
      <w:r>
        <w:rPr>
          <w:rFonts w:hint="eastAsia" w:ascii="Times New Roman" w:hAnsi="Times New Roman" w:eastAsia="Times New Roman" w:cs="Times New Roman"/>
          <w:szCs w:val="24"/>
          <w:lang w:val="en-GB"/>
        </w:rPr>
        <w:t>https://doi.org/10.1016/S0734-3310(02)00066-6</w:t>
      </w:r>
      <w:r>
        <w:rPr>
          <w:rFonts w:hint="eastAsia" w:ascii="Times New Roman" w:hAnsi="Times New Roman" w:eastAsia="Times New Roman" w:cs="Times New Roman"/>
          <w:szCs w:val="24"/>
          <w:lang w:val="en-GB"/>
        </w:rPr>
        <w:fldChar w:fldCharType="end"/>
      </w:r>
    </w:p>
    <w:p w14:paraId="5340B2B9">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Feldman, D. H. (2004). Piaget’s stages: The unfinished symphony of cognitive development. </w:t>
      </w:r>
      <w:r>
        <w:rPr>
          <w:rFonts w:hint="eastAsia" w:ascii="Times New Roman Italic" w:hAnsi="Times New Roman Italic" w:eastAsia="Times New Roman" w:cs="Times New Roman Italic"/>
          <w:i/>
          <w:iCs/>
          <w:szCs w:val="24"/>
          <w:lang w:val="en-GB"/>
        </w:rPr>
        <w:t>New Ideas in Psychology, 22</w:t>
      </w:r>
      <w:r>
        <w:rPr>
          <w:rFonts w:hint="eastAsia" w:ascii="Times New Roman" w:hAnsi="Times New Roman" w:eastAsia="Times New Roman" w:cs="Times New Roman"/>
          <w:szCs w:val="24"/>
          <w:lang w:val="en-GB"/>
        </w:rPr>
        <w:t xml:space="preserve">, 175–231. https://doi.org/10.1016/j.newideapsych.2004.11.005 </w:t>
      </w:r>
    </w:p>
    <w:p w14:paraId="7D44139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Fu, C., Hao, X., Shi, D., Wang, L., &amp; Geng, F. (2023). Effect of coding learning on the computational thinking of young Chinese children: Based on the three-dimensional framework. </w:t>
      </w:r>
      <w:r>
        <w:rPr>
          <w:rFonts w:hint="eastAsia" w:ascii="Times New Roman Italic" w:hAnsi="Times New Roman Italic" w:eastAsia="Times New Roman" w:cs="Times New Roman Italic"/>
          <w:i/>
          <w:iCs/>
          <w:szCs w:val="24"/>
          <w:lang w:val="en-GB"/>
        </w:rPr>
        <w:t>Education and Information Technologies</w:t>
      </w:r>
      <w:r>
        <w:rPr>
          <w:rFonts w:hint="eastAsia" w:ascii="Times New Roman" w:hAnsi="Times New Roman" w:eastAsia="Times New Roman" w:cs="Times New Roman"/>
          <w:szCs w:val="24"/>
          <w:lang w:val="en-GB"/>
        </w:rPr>
        <w:t xml:space="preserve">. </w:t>
      </w:r>
      <w:r>
        <w:fldChar w:fldCharType="begin"/>
      </w:r>
      <w:r>
        <w:instrText xml:space="preserve"> HYPERLINK "https://doi.org/10.1007/s10639-023-11807-4" </w:instrText>
      </w:r>
      <w:r>
        <w:fldChar w:fldCharType="separate"/>
      </w:r>
      <w:r>
        <w:rPr>
          <w:rFonts w:hint="eastAsia" w:ascii="Times New Roman" w:hAnsi="Times New Roman" w:eastAsia="Times New Roman" w:cs="Times New Roman"/>
          <w:szCs w:val="24"/>
          <w:lang w:val="en-GB"/>
        </w:rPr>
        <w:t>https://doi.org/10.1007/s10639-023-11807-4</w:t>
      </w:r>
      <w:r>
        <w:rPr>
          <w:rFonts w:hint="eastAsia" w:ascii="Times New Roman" w:hAnsi="Times New Roman" w:eastAsia="Times New Roman" w:cs="Times New Roman"/>
          <w:szCs w:val="24"/>
          <w:lang w:val="en-GB"/>
        </w:rPr>
        <w:fldChar w:fldCharType="end"/>
      </w:r>
    </w:p>
    <w:p w14:paraId="1E6AE3EF">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Grover, S., &amp; Pea, R. (2013). Computational thinking in K</w:t>
      </w:r>
      <w:r>
        <w:rPr>
          <w:rFonts w:hint="eastAsia" w:ascii="Times New Roman" w:hAnsi="Times New Roman" w:eastAsia="Times New Roman" w:cs="Times New Roman"/>
          <w:szCs w:val="24"/>
        </w:rPr>
        <w:t>-</w:t>
      </w:r>
      <w:r>
        <w:rPr>
          <w:rFonts w:hint="eastAsia" w:ascii="Times New Roman" w:hAnsi="Times New Roman" w:eastAsia="Times New Roman" w:cs="Times New Roman"/>
          <w:szCs w:val="24"/>
          <w:lang w:val="en-GB"/>
        </w:rPr>
        <w:t>12: A review of state of the field. </w:t>
      </w:r>
      <w:r>
        <w:rPr>
          <w:rFonts w:hint="eastAsia" w:ascii="Times New Roman Italic" w:hAnsi="Times New Roman Italic" w:eastAsia="Times New Roman" w:cs="Times New Roman Italic"/>
          <w:i/>
          <w:iCs/>
          <w:szCs w:val="24"/>
          <w:lang w:val="en-GB"/>
        </w:rPr>
        <w:t>Educational Researcher, 42</w:t>
      </w:r>
      <w:r>
        <w:rPr>
          <w:rFonts w:hint="eastAsia" w:ascii="Times New Roman" w:hAnsi="Times New Roman" w:eastAsia="Times New Roman" w:cs="Times New Roman"/>
          <w:szCs w:val="24"/>
          <w:lang w:val="en-GB"/>
        </w:rPr>
        <w:t xml:space="preserve">(1), 38–43. </w:t>
      </w:r>
      <w:r>
        <w:fldChar w:fldCharType="begin"/>
      </w:r>
      <w:r>
        <w:instrText xml:space="preserve"> HYPERLINK "https://doi.org/10.3102/0013189x12463051" </w:instrText>
      </w:r>
      <w:r>
        <w:fldChar w:fldCharType="separate"/>
      </w:r>
      <w:r>
        <w:rPr>
          <w:rFonts w:hint="eastAsia" w:ascii="Times New Roman" w:hAnsi="Times New Roman" w:eastAsia="Times New Roman" w:cs="Times New Roman"/>
          <w:szCs w:val="24"/>
          <w:lang w:val="en-GB"/>
        </w:rPr>
        <w:t>https://doi.org/10.3102/0013189x12463051</w:t>
      </w:r>
      <w:r>
        <w:rPr>
          <w:rFonts w:hint="eastAsia" w:ascii="Times New Roman" w:hAnsi="Times New Roman" w:eastAsia="Times New Roman" w:cs="Times New Roman"/>
          <w:szCs w:val="24"/>
          <w:lang w:val="en-GB"/>
        </w:rPr>
        <w:fldChar w:fldCharType="end"/>
      </w:r>
    </w:p>
    <w:p w14:paraId="16F38D80">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Heintz, F., Mannila, L., &amp; Farnqvist, T. (2016). A review of models for introducing computational thinking, computer science and computing in K-12 education. </w:t>
      </w:r>
      <w:r>
        <w:rPr>
          <w:rFonts w:hint="eastAsia" w:ascii="Times New Roman Italic" w:hAnsi="Times New Roman Italic" w:eastAsia="Times New Roman" w:cs="Times New Roman Italic"/>
          <w:i/>
          <w:iCs/>
          <w:szCs w:val="24"/>
          <w:lang w:val="en-GB"/>
        </w:rPr>
        <w:t>2016 IEEE Frontiers in Education Conference (FIE)</w:t>
      </w:r>
      <w:r>
        <w:rPr>
          <w:rFonts w:hint="eastAsia" w:ascii="Times New Roman" w:hAnsi="Times New Roman" w:eastAsia="Times New Roman" w:cs="Times New Roman"/>
          <w:szCs w:val="24"/>
          <w:lang w:val="en-GB"/>
        </w:rPr>
        <w:t xml:space="preserve">. </w:t>
      </w:r>
      <w:r>
        <w:fldChar w:fldCharType="begin"/>
      </w:r>
      <w:r>
        <w:instrText xml:space="preserve"> HYPERLINK "http://dx.doi.org/10.1109/fie.2016.7757410" </w:instrText>
      </w:r>
      <w:r>
        <w:fldChar w:fldCharType="separate"/>
      </w:r>
      <w:r>
        <w:rPr>
          <w:rFonts w:hint="eastAsia" w:ascii="Times New Roman" w:hAnsi="Times New Roman" w:eastAsia="Times New Roman" w:cs="Times New Roman"/>
          <w:szCs w:val="24"/>
          <w:lang w:val="en-GB"/>
        </w:rPr>
        <w:t>http://dx.doi.org/10.1109/fie.2016.7757410</w:t>
      </w:r>
      <w:r>
        <w:rPr>
          <w:rFonts w:hint="eastAsia" w:ascii="Times New Roman" w:hAnsi="Times New Roman" w:eastAsia="Times New Roman" w:cs="Times New Roman"/>
          <w:szCs w:val="24"/>
          <w:lang w:val="en-GB"/>
        </w:rPr>
        <w:fldChar w:fldCharType="end"/>
      </w:r>
    </w:p>
    <w:p w14:paraId="7A2D82E6">
      <w:pPr>
        <w:spacing w:line="360" w:lineRule="auto"/>
        <w:ind w:left="480" w:hanging="480" w:hangingChars="200"/>
        <w:rPr>
          <w:rFonts w:hint="eastAsia" w:ascii="Times New Roman" w:hAnsi="Times New Roman" w:eastAsia="標楷體" w:cs="Times New Roman"/>
          <w:szCs w:val="20"/>
          <w:lang w:eastAsia="zh-TW"/>
        </w:rPr>
      </w:pPr>
      <w:r>
        <w:rPr>
          <w:rFonts w:hint="eastAsia" w:ascii="Times New Roman" w:hAnsi="Times New Roman" w:eastAsia="標楷體" w:cs="Times New Roman"/>
          <w:szCs w:val="20"/>
          <w:lang w:eastAsia="zh-TW"/>
        </w:rPr>
        <w:t>Hwang, G.</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J., Hsu, T.</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C., Lai, C.</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L., &amp; Hsueh, C.</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J. (2017). Interaction of problem-based gaming and learning anxiety in language students</w:t>
      </w:r>
      <w:r>
        <w:rPr>
          <w:rFonts w:hint="default" w:ascii="Times New Roman" w:hAnsi="Times New Roman" w:eastAsia="標楷體" w:cs="Times New Roman"/>
          <w:szCs w:val="20"/>
          <w:lang w:val="en-US" w:eastAsia="zh-CN"/>
        </w:rPr>
        <w:t>’</w:t>
      </w:r>
      <w:r>
        <w:rPr>
          <w:rFonts w:hint="eastAsia" w:ascii="Times New Roman" w:hAnsi="Times New Roman" w:eastAsia="標楷體" w:cs="Times New Roman"/>
          <w:szCs w:val="20"/>
          <w:lang w:eastAsia="zh-TW"/>
        </w:rPr>
        <w:t xml:space="preserve"> English listening performance and progressive behavioral patterns. </w:t>
      </w:r>
      <w:r>
        <w:rPr>
          <w:rFonts w:hint="default" w:ascii="Times New Roman Italic" w:hAnsi="Times New Roman Italic" w:eastAsia="標楷體" w:cs="Times New Roman Italic"/>
          <w:i/>
          <w:iCs/>
          <w:szCs w:val="20"/>
          <w:lang w:eastAsia="zh-TW"/>
        </w:rPr>
        <w:t>Computers &amp; Education, 106</w:t>
      </w:r>
      <w:r>
        <w:rPr>
          <w:rFonts w:hint="eastAsia" w:ascii="Times New Roman" w:hAnsi="Times New Roman" w:eastAsia="標楷體" w:cs="Times New Roman"/>
          <w:szCs w:val="20"/>
          <w:lang w:eastAsia="zh-TW"/>
        </w:rPr>
        <w:t xml:space="preserve">, 26–42. </w:t>
      </w:r>
      <w:r>
        <w:rPr>
          <w:rFonts w:hint="eastAsia" w:ascii="Times New Roman" w:hAnsi="Times New Roman" w:eastAsia="標楷體" w:cs="Times New Roman"/>
          <w:szCs w:val="20"/>
          <w:lang w:eastAsia="zh-TW"/>
        </w:rPr>
        <w:fldChar w:fldCharType="begin"/>
      </w:r>
      <w:r>
        <w:rPr>
          <w:rFonts w:hint="eastAsia" w:ascii="Times New Roman" w:hAnsi="Times New Roman" w:eastAsia="標楷體" w:cs="Times New Roman"/>
          <w:szCs w:val="20"/>
          <w:lang w:eastAsia="zh-TW"/>
        </w:rPr>
        <w:instrText xml:space="preserve"> HYPERLINK "https://doi.org/10.1016/j.compedu.2016.11.010" </w:instrText>
      </w:r>
      <w:r>
        <w:rPr>
          <w:rFonts w:hint="eastAsia" w:ascii="Times New Roman" w:hAnsi="Times New Roman" w:eastAsia="標楷體" w:cs="Times New Roman"/>
          <w:szCs w:val="20"/>
          <w:lang w:eastAsia="zh-TW"/>
        </w:rPr>
        <w:fldChar w:fldCharType="separate"/>
      </w:r>
      <w:r>
        <w:rPr>
          <w:rFonts w:hint="eastAsia" w:ascii="Times New Roman" w:hAnsi="Times New Roman" w:eastAsia="標楷體" w:cs="Times New Roman"/>
          <w:szCs w:val="20"/>
          <w:lang w:eastAsia="zh-TW"/>
        </w:rPr>
        <w:t>https://doi.org/10.1016/j.compedu.2016.11.010</w:t>
      </w:r>
      <w:r>
        <w:rPr>
          <w:rFonts w:hint="eastAsia" w:ascii="Times New Roman" w:hAnsi="Times New Roman" w:eastAsia="標楷體" w:cs="Times New Roman"/>
          <w:szCs w:val="20"/>
          <w:lang w:eastAsia="zh-TW"/>
        </w:rPr>
        <w:fldChar w:fldCharType="end"/>
      </w:r>
    </w:p>
    <w:p w14:paraId="1E0FEE26">
      <w:pPr>
        <w:spacing w:line="360" w:lineRule="auto"/>
        <w:ind w:left="480" w:hanging="480" w:hangingChars="200"/>
        <w:rPr>
          <w:rFonts w:hint="eastAsia" w:ascii="Times New Roman" w:hAnsi="Times New Roman" w:eastAsia="標楷體" w:cs="Times New Roman"/>
          <w:szCs w:val="20"/>
          <w:lang w:eastAsia="zh-TW"/>
        </w:rPr>
      </w:pPr>
      <w:r>
        <w:rPr>
          <w:rFonts w:hint="eastAsia" w:ascii="Times New Roman" w:hAnsi="Times New Roman" w:eastAsia="標楷體" w:cs="Times New Roman"/>
          <w:szCs w:val="20"/>
          <w:lang w:eastAsia="zh-TW"/>
        </w:rPr>
        <w:t>Hwang, G.</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J., Tung, L.</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H., &amp; Fang, J.</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W. (2022). Promoting students</w:t>
      </w:r>
      <w:r>
        <w:rPr>
          <w:rFonts w:hint="default" w:ascii="Times New Roman" w:hAnsi="Times New Roman" w:eastAsia="標楷體" w:cs="Times New Roman"/>
          <w:szCs w:val="20"/>
          <w:lang w:val="en-US" w:eastAsia="zh-CN"/>
        </w:rPr>
        <w:t>’</w:t>
      </w:r>
      <w:r>
        <w:rPr>
          <w:rFonts w:hint="eastAsia" w:ascii="Times New Roman" w:hAnsi="Times New Roman" w:eastAsia="標楷體" w:cs="Times New Roman"/>
          <w:szCs w:val="20"/>
          <w:lang w:eastAsia="zh-TW"/>
        </w:rPr>
        <w:t xml:space="preserve"> programming logic and problem-solving awareness with precision feedback: A two-tier test-based online programming training approach. </w:t>
      </w:r>
      <w:r>
        <w:rPr>
          <w:rFonts w:hint="default" w:ascii="Times New Roman Italic" w:hAnsi="Times New Roman Italic" w:eastAsia="標楷體" w:cs="Times New Roman Italic"/>
          <w:i/>
          <w:iCs/>
          <w:szCs w:val="20"/>
          <w:lang w:eastAsia="zh-TW"/>
        </w:rPr>
        <w:t>Journal of Educational Computing Research, 60</w:t>
      </w:r>
      <w:r>
        <w:rPr>
          <w:rFonts w:hint="eastAsia" w:ascii="Times New Roman" w:hAnsi="Times New Roman" w:eastAsia="標楷體" w:cs="Times New Roman"/>
          <w:szCs w:val="20"/>
          <w:lang w:eastAsia="zh-TW"/>
        </w:rPr>
        <w:t>(8), 1895–1917. https://doi.org/10.1177/07356331221087773</w:t>
      </w:r>
    </w:p>
    <w:p w14:paraId="68AE4AE9">
      <w:pPr>
        <w:spacing w:line="360" w:lineRule="auto"/>
        <w:ind w:left="480" w:hanging="480" w:hangingChars="200"/>
        <w:rPr>
          <w:rFonts w:hint="eastAsia" w:ascii="Times New Roman" w:hAnsi="Times New Roman" w:eastAsia="標楷體" w:cs="Times New Roman"/>
          <w:szCs w:val="20"/>
          <w:lang w:eastAsia="zh-TW"/>
        </w:rPr>
      </w:pPr>
      <w:r>
        <w:rPr>
          <w:rFonts w:hint="eastAsia" w:ascii="Times New Roman" w:hAnsi="Times New Roman" w:eastAsia="標楷體" w:cs="Times New Roman"/>
          <w:szCs w:val="20"/>
          <w:lang w:eastAsia="zh-TW"/>
        </w:rPr>
        <w:t>Hwang, G.</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J., Wang, S.</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Y., &amp; Lai, C.</w:t>
      </w:r>
      <w:r>
        <w:rPr>
          <w:rFonts w:hint="eastAsia" w:ascii="Times New Roman" w:hAnsi="Times New Roman" w:eastAsia="標楷體" w:cs="Times New Roman"/>
          <w:szCs w:val="20"/>
          <w:lang w:val="en-US" w:eastAsia="zh-TW"/>
        </w:rPr>
        <w:t xml:space="preserve"> </w:t>
      </w:r>
      <w:r>
        <w:rPr>
          <w:rFonts w:hint="eastAsia" w:ascii="Times New Roman" w:hAnsi="Times New Roman" w:eastAsia="標楷體" w:cs="Times New Roman"/>
          <w:szCs w:val="20"/>
          <w:lang w:eastAsia="zh-TW"/>
        </w:rPr>
        <w:t>L. (2021). Effects of a social regulation-based online learning framework on students</w:t>
      </w:r>
      <w:r>
        <w:rPr>
          <w:rFonts w:hint="default" w:ascii="Times New Roman" w:hAnsi="Times New Roman" w:eastAsia="標楷體" w:cs="Times New Roman"/>
          <w:szCs w:val="20"/>
          <w:lang w:val="en-US" w:eastAsia="zh-CN"/>
        </w:rPr>
        <w:t>’</w:t>
      </w:r>
      <w:r>
        <w:rPr>
          <w:rFonts w:hint="eastAsia" w:ascii="Times New Roman" w:hAnsi="Times New Roman" w:eastAsia="標楷體" w:cs="Times New Roman"/>
          <w:szCs w:val="20"/>
          <w:lang w:eastAsia="zh-TW"/>
        </w:rPr>
        <w:t xml:space="preserve"> learning achievements and behaviors in mathematics. </w:t>
      </w:r>
      <w:r>
        <w:rPr>
          <w:rFonts w:hint="default" w:ascii="Times New Roman Italic" w:hAnsi="Times New Roman Italic" w:eastAsia="標楷體" w:cs="Times New Roman Italic"/>
          <w:i/>
          <w:iCs/>
          <w:szCs w:val="20"/>
          <w:lang w:eastAsia="zh-TW"/>
        </w:rPr>
        <w:t>Computers &amp; Education, 160</w:t>
      </w:r>
      <w:r>
        <w:rPr>
          <w:rFonts w:hint="eastAsia" w:ascii="Times New Roman" w:hAnsi="Times New Roman" w:eastAsia="標楷體" w:cs="Times New Roman"/>
          <w:szCs w:val="20"/>
          <w:lang w:eastAsia="zh-TW"/>
        </w:rPr>
        <w:t xml:space="preserve">, 104031. </w:t>
      </w:r>
      <w:r>
        <w:rPr>
          <w:rFonts w:hint="eastAsia" w:ascii="Times New Roman" w:hAnsi="Times New Roman" w:eastAsia="標楷體" w:cs="Times New Roman"/>
          <w:szCs w:val="20"/>
          <w:lang w:eastAsia="zh-TW"/>
        </w:rPr>
        <w:fldChar w:fldCharType="begin"/>
      </w:r>
      <w:r>
        <w:rPr>
          <w:rFonts w:hint="eastAsia" w:ascii="Times New Roman" w:hAnsi="Times New Roman" w:eastAsia="標楷體" w:cs="Times New Roman"/>
          <w:szCs w:val="20"/>
          <w:lang w:eastAsia="zh-TW"/>
        </w:rPr>
        <w:instrText xml:space="preserve"> HYPERLINK "https://doi.org/10.1016/j.compedu.2020.104031" </w:instrText>
      </w:r>
      <w:r>
        <w:rPr>
          <w:rFonts w:hint="eastAsia" w:ascii="Times New Roman" w:hAnsi="Times New Roman" w:eastAsia="標楷體" w:cs="Times New Roman"/>
          <w:szCs w:val="20"/>
          <w:lang w:eastAsia="zh-TW"/>
        </w:rPr>
        <w:fldChar w:fldCharType="separate"/>
      </w:r>
      <w:r>
        <w:rPr>
          <w:rFonts w:hint="eastAsia" w:ascii="Times New Roman" w:hAnsi="Times New Roman" w:eastAsia="標楷體" w:cs="Times New Roman"/>
          <w:szCs w:val="20"/>
          <w:lang w:eastAsia="zh-TW"/>
        </w:rPr>
        <w:t>https://doi.org/10.1016/j.compedu.2020.104031</w:t>
      </w:r>
      <w:r>
        <w:rPr>
          <w:rFonts w:hint="eastAsia" w:ascii="Times New Roman" w:hAnsi="Times New Roman" w:eastAsia="標楷體" w:cs="Times New Roman"/>
          <w:szCs w:val="20"/>
          <w:lang w:eastAsia="zh-TW"/>
        </w:rPr>
        <w:fldChar w:fldCharType="end"/>
      </w:r>
    </w:p>
    <w:p w14:paraId="24B26117">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Kwon, K., Jeon, M., Zhou, C., Kim, K., &amp; Brush, T. A. (2022). Embodied learning for computational thinking in early primary education. </w:t>
      </w:r>
      <w:r>
        <w:rPr>
          <w:rFonts w:hint="eastAsia" w:ascii="Times New Roman Italic" w:hAnsi="Times New Roman Italic" w:eastAsia="Times New Roman" w:cs="Times New Roman Italic"/>
          <w:i/>
          <w:iCs/>
          <w:szCs w:val="24"/>
          <w:lang w:val="en-GB"/>
        </w:rPr>
        <w:t>Journal of Research on Technology in Education</w:t>
      </w:r>
      <w:r>
        <w:rPr>
          <w:rFonts w:hint="eastAsia" w:ascii="Times New Roman" w:hAnsi="Times New Roman" w:eastAsia="Times New Roman" w:cs="Times New Roman"/>
          <w:szCs w:val="24"/>
          <w:lang w:val="en-GB"/>
        </w:rPr>
        <w:t>, 1–21. https://doi.org/10.1080/15391523.2022.2158146</w:t>
      </w:r>
    </w:p>
    <w:p w14:paraId="1DFC94C8">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Lakoff, G. &amp; M. Johnson. (1980). Metaphors we live by. Chicago: University of Chicago Press.</w:t>
      </w:r>
    </w:p>
    <w:p w14:paraId="555AE9E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Lakoff, G. (1993). Metaphor and Thought. London: Cambridge University Press. </w:t>
      </w:r>
      <w:r>
        <w:fldChar w:fldCharType="begin"/>
      </w:r>
      <w:r>
        <w:instrText xml:space="preserve"> HYPERLINK "http://dx.doi.org/10.1017/cbo9781139173865.013" </w:instrText>
      </w:r>
      <w:r>
        <w:fldChar w:fldCharType="separate"/>
      </w:r>
      <w:r>
        <w:rPr>
          <w:rFonts w:hint="eastAsia" w:ascii="Times New Roman" w:hAnsi="Times New Roman" w:eastAsia="Times New Roman" w:cs="Times New Roman"/>
          <w:szCs w:val="24"/>
          <w:lang w:val="en-GB"/>
        </w:rPr>
        <w:t>http://dx.doi.org/10.1017/cbo9781139173865.013</w:t>
      </w:r>
      <w:r>
        <w:rPr>
          <w:rFonts w:hint="eastAsia" w:ascii="Times New Roman" w:hAnsi="Times New Roman" w:eastAsia="Times New Roman" w:cs="Times New Roman"/>
          <w:szCs w:val="24"/>
          <w:lang w:val="en-GB"/>
        </w:rPr>
        <w:fldChar w:fldCharType="end"/>
      </w:r>
    </w:p>
    <w:p w14:paraId="59B09300">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Larsson, A., &amp; Stolpe, K. (2022). Hands on programming: Teachers’ use of metaphors in gesture and speech make abstract concepts tangible. </w:t>
      </w:r>
      <w:r>
        <w:rPr>
          <w:rFonts w:hint="eastAsia" w:ascii="Times New Roman Italic" w:hAnsi="Times New Roman Italic" w:eastAsia="Times New Roman" w:cs="Times New Roman Italic"/>
          <w:i/>
          <w:iCs/>
          <w:szCs w:val="24"/>
          <w:lang w:val="en-GB"/>
        </w:rPr>
        <w:t>International Journal of Technology and Design Education, 33</w:t>
      </w:r>
      <w:r>
        <w:rPr>
          <w:rFonts w:hint="eastAsia" w:ascii="Times New Roman" w:hAnsi="Times New Roman" w:eastAsia="Times New Roman" w:cs="Times New Roman"/>
          <w:szCs w:val="24"/>
          <w:lang w:val="en-GB"/>
        </w:rPr>
        <w:t>(3), 901–919. https://doi.org/10.1007/s10798-022-09755-0</w:t>
      </w:r>
    </w:p>
    <w:p w14:paraId="727AB2C4">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MacCormac, E. R. (1990). A cognitive theory of metaphor. Cambridge, MA: MIT Press.</w:t>
      </w:r>
    </w:p>
    <w:p w14:paraId="34D2EEF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Macrides, E., Miliou, O., &amp; Angeli, C. (2022). Programming in early childhood education: A systematic review. </w:t>
      </w:r>
      <w:r>
        <w:rPr>
          <w:rFonts w:hint="eastAsia" w:ascii="Times New Roman Italic" w:hAnsi="Times New Roman Italic" w:eastAsia="Times New Roman" w:cs="Times New Roman Italic"/>
          <w:i/>
          <w:iCs/>
          <w:szCs w:val="24"/>
          <w:lang w:val="en-GB"/>
        </w:rPr>
        <w:t>International Journal of Child-Computer Interaction, 32</w:t>
      </w:r>
      <w:r>
        <w:rPr>
          <w:rFonts w:hint="eastAsia" w:ascii="Times New Roman" w:hAnsi="Times New Roman" w:eastAsia="Times New Roman" w:cs="Times New Roman"/>
          <w:szCs w:val="24"/>
          <w:lang w:val="en-GB"/>
        </w:rPr>
        <w:t>, 100396. https://doi.org/10.1016/j.ijcci.2021.100396</w:t>
      </w:r>
    </w:p>
    <w:p w14:paraId="633DDBA7">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Manches, A., McKenna, P. E., Rajendran, G., &amp; Robertson, J. (2020). Identifying embodied metaphors for computing education. </w:t>
      </w:r>
      <w:r>
        <w:rPr>
          <w:rFonts w:hint="eastAsia" w:ascii="Times New Roman Italic" w:hAnsi="Times New Roman Italic" w:eastAsia="Times New Roman" w:cs="Times New Roman Italic"/>
          <w:i/>
          <w:iCs/>
          <w:szCs w:val="24"/>
          <w:lang w:val="en-GB"/>
        </w:rPr>
        <w:t>Computers in Human Behavior, 105</w:t>
      </w:r>
      <w:r>
        <w:rPr>
          <w:rFonts w:hint="eastAsia" w:ascii="Times New Roman" w:hAnsi="Times New Roman" w:eastAsia="Times New Roman" w:cs="Times New Roman"/>
          <w:szCs w:val="24"/>
          <w:lang w:val="en-GB"/>
        </w:rPr>
        <w:t>, 105859. https://doi.org/10.1016/j.chb.2018.12.037</w:t>
      </w:r>
    </w:p>
    <w:p w14:paraId="4E0E4981">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Merino-Armero, J. M., González-Calero, J. A., &amp; Cózar-Gutiérrez, R. (2021). Computational thinking in K-12 education. An insight through meta-analysis. </w:t>
      </w:r>
      <w:r>
        <w:rPr>
          <w:rFonts w:ascii="Times New Roman Italic" w:hAnsi="Times New Roman Italic" w:eastAsia="Times New Roman" w:cs="Times New Roman Italic"/>
          <w:i/>
          <w:iCs/>
          <w:szCs w:val="24"/>
          <w:lang w:val="en-GB"/>
        </w:rPr>
        <w:t>Journal of Research on Technology in Education, 54</w:t>
      </w:r>
      <w:r>
        <w:rPr>
          <w:rFonts w:hint="eastAsia" w:ascii="Times New Roman" w:hAnsi="Times New Roman" w:eastAsia="Times New Roman" w:cs="Times New Roman"/>
          <w:szCs w:val="24"/>
          <w:lang w:val="en-GB"/>
        </w:rPr>
        <w:t>(3), 410–437. https://doi.org/10.1080/15391523.2020.1870250</w:t>
      </w:r>
    </w:p>
    <w:p w14:paraId="31E9A3D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Milner, W. W. (2010). A broken metaphor in Java. </w:t>
      </w:r>
      <w:r>
        <w:rPr>
          <w:rFonts w:hint="eastAsia" w:ascii="Times New Roman Italic" w:hAnsi="Times New Roman Italic" w:eastAsia="Times New Roman" w:cs="Times New Roman Italic"/>
          <w:i/>
          <w:iCs/>
          <w:szCs w:val="24"/>
          <w:lang w:val="en-GB"/>
        </w:rPr>
        <w:t>ACM SIGCSE Bulletin, 41</w:t>
      </w:r>
      <w:r>
        <w:rPr>
          <w:rFonts w:hint="eastAsia" w:ascii="Times New Roman" w:hAnsi="Times New Roman" w:eastAsia="Times New Roman" w:cs="Times New Roman"/>
          <w:szCs w:val="24"/>
          <w:lang w:val="en-GB"/>
        </w:rPr>
        <w:t>(4), 76–77. https://doi.org/10.1145/1709424.1709450</w:t>
      </w:r>
    </w:p>
    <w:p w14:paraId="67F0B111">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Papert, S. (1980). Mindstorms: Children, computers, and powerful ideas. New York: Basic Books. </w:t>
      </w:r>
    </w:p>
    <w:p w14:paraId="4E28F81D">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Peelle, H. A. (1983). Computer metaphors: Approaches to computer literacy for educators. </w:t>
      </w:r>
      <w:r>
        <w:rPr>
          <w:rFonts w:hint="eastAsia" w:ascii="Times New Roman Italic" w:hAnsi="Times New Roman Italic" w:eastAsia="Times New Roman" w:cs="Times New Roman Italic"/>
          <w:i/>
          <w:iCs/>
          <w:szCs w:val="24"/>
          <w:lang w:val="en-GB"/>
        </w:rPr>
        <w:t>Computers &amp; Education, 7</w:t>
      </w:r>
      <w:r>
        <w:rPr>
          <w:rFonts w:hint="eastAsia" w:ascii="Times New Roman" w:hAnsi="Times New Roman" w:eastAsia="Times New Roman" w:cs="Times New Roman"/>
          <w:szCs w:val="24"/>
          <w:lang w:val="en-GB"/>
        </w:rPr>
        <w:t>(2), 91–99. https://doi.org/10.1016/0360-1315(83)90020-9</w:t>
      </w:r>
    </w:p>
    <w:p w14:paraId="5849E395">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Piaget, J. (1953). The origins of intelligence in the child. London: Routledge and Kegan Paul. </w:t>
      </w:r>
    </w:p>
    <w:p w14:paraId="448499D4">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Piaget, J. (1971). Developmental stages and developmental processes. In D. R. Green, M. P. Ford, &amp; G. B. Flamer (Eds.), Measurement and Piaget. New York: McGraw-Hill. </w:t>
      </w:r>
    </w:p>
    <w:p w14:paraId="77D4532E">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Prenzel, M., &amp; Mandl, H. (1993). Transfer of learning from a constructivist perpective, In T. M. Duffy, J. Lowyck, D. H. Jonassen, &amp; T. M. Welsh (Eds.), Designing Environments for Constructive Learning, Springer–Verlag Berlin Heidelber, 315–330． </w:t>
      </w:r>
    </w:p>
    <w:p w14:paraId="04855E2B">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Pérez-Marín, D., Hijón-Neira, R., &amp; </w:t>
      </w:r>
      <w:r>
        <w:fldChar w:fldCharType="begin"/>
      </w:r>
      <w:r>
        <w:instrText xml:space="preserve"> HYPERLINK "https://www.researchgate.net/profile/Mercedes-Martin-Lope" </w:instrText>
      </w:r>
      <w:r>
        <w:fldChar w:fldCharType="separate"/>
      </w:r>
      <w:r>
        <w:rPr>
          <w:rFonts w:hint="eastAsia" w:ascii="Times New Roman" w:hAnsi="Times New Roman" w:eastAsia="Times New Roman" w:cs="Times New Roman"/>
          <w:szCs w:val="24"/>
          <w:lang w:val="en-GB"/>
        </w:rPr>
        <w:t>Martín-Lope</w:t>
      </w:r>
      <w:r>
        <w:rPr>
          <w:rFonts w:hint="eastAsia" w:ascii="Times New Roman" w:hAnsi="Times New Roman" w:eastAsia="Times New Roman" w:cs="Times New Roman"/>
          <w:szCs w:val="24"/>
          <w:lang w:val="en-GB"/>
        </w:rPr>
        <w:fldChar w:fldCharType="end"/>
      </w:r>
      <w:r>
        <w:rPr>
          <w:rFonts w:hint="eastAsia" w:ascii="Times New Roman" w:hAnsi="Times New Roman" w:eastAsia="Times New Roman" w:cs="Times New Roman"/>
          <w:szCs w:val="24"/>
          <w:lang w:val="en-GB"/>
        </w:rPr>
        <w:t>, M. (2018). A methodology proposal based on metaphors to teach programming to children. </w:t>
      </w:r>
      <w:r>
        <w:rPr>
          <w:rFonts w:hint="eastAsia" w:ascii="Times New Roman Italic" w:hAnsi="Times New Roman Italic" w:eastAsia="Times New Roman" w:cs="Times New Roman Italic"/>
          <w:i/>
          <w:iCs/>
          <w:szCs w:val="24"/>
          <w:lang w:val="en-GB"/>
        </w:rPr>
        <w:t>IEEE Revista Iberoamericana de Tecnologias Del Aprendizaje, 13</w:t>
      </w:r>
      <w:r>
        <w:rPr>
          <w:rFonts w:hint="eastAsia" w:ascii="Times New Roman" w:hAnsi="Times New Roman" w:eastAsia="Times New Roman" w:cs="Times New Roman"/>
          <w:szCs w:val="24"/>
          <w:lang w:val="en-GB"/>
        </w:rPr>
        <w:t xml:space="preserve">(1), 46–53. </w:t>
      </w:r>
      <w:r>
        <w:fldChar w:fldCharType="begin"/>
      </w:r>
      <w:r>
        <w:instrText xml:space="preserve"> HYPERLINK "https://doi.org/10.1109/rita.2018.2809944" </w:instrText>
      </w:r>
      <w:r>
        <w:fldChar w:fldCharType="separate"/>
      </w:r>
      <w:r>
        <w:rPr>
          <w:rFonts w:hint="eastAsia" w:ascii="Times New Roman" w:hAnsi="Times New Roman" w:eastAsia="Times New Roman" w:cs="Times New Roman"/>
          <w:szCs w:val="24"/>
          <w:lang w:val="en-GB"/>
        </w:rPr>
        <w:t>https://doi.org/10.1109/rita.2018.2809944</w:t>
      </w:r>
      <w:r>
        <w:rPr>
          <w:rFonts w:hint="eastAsia" w:ascii="Times New Roman" w:hAnsi="Times New Roman" w:eastAsia="Times New Roman" w:cs="Times New Roman"/>
          <w:szCs w:val="24"/>
          <w:lang w:val="en-GB"/>
        </w:rPr>
        <w:fldChar w:fldCharType="end"/>
      </w:r>
    </w:p>
    <w:p w14:paraId="621159E6">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Pérez-Marín, D., Hijón-Neira, R., Bacelo, A., &amp; Pizarro, C. (2020). Can computational thinking be improved by using a methodology based on metaphors and scratch to teach computer programming to children? C</w:t>
      </w:r>
      <w:r>
        <w:rPr>
          <w:rFonts w:hint="eastAsia" w:ascii="Times New Roman Italic" w:hAnsi="Times New Roman Italic" w:eastAsia="Times New Roman" w:cs="Times New Roman Italic"/>
          <w:i/>
          <w:iCs/>
          <w:szCs w:val="24"/>
          <w:lang w:val="en-GB"/>
        </w:rPr>
        <w:t>omputers in Human Behavior, 105</w:t>
      </w:r>
      <w:r>
        <w:rPr>
          <w:rFonts w:hint="eastAsia" w:ascii="Times New Roman" w:hAnsi="Times New Roman" w:eastAsia="Times New Roman" w:cs="Times New Roman"/>
          <w:szCs w:val="24"/>
          <w:lang w:val="en-GB"/>
        </w:rPr>
        <w:t xml:space="preserve">, 105849. </w:t>
      </w:r>
      <w:r>
        <w:fldChar w:fldCharType="begin"/>
      </w:r>
      <w:r>
        <w:instrText xml:space="preserve"> HYPERLINK "https://doi.org/10.1016/j.chb.2018.12.027" </w:instrText>
      </w:r>
      <w:r>
        <w:fldChar w:fldCharType="separate"/>
      </w:r>
      <w:r>
        <w:rPr>
          <w:rFonts w:hint="eastAsia" w:ascii="Times New Roman" w:hAnsi="Times New Roman" w:eastAsia="Times New Roman" w:cs="Times New Roman"/>
          <w:szCs w:val="24"/>
          <w:lang w:val="en-GB"/>
        </w:rPr>
        <w:t>https://doi.org/10.1016/j.chb.2018.12.027</w:t>
      </w:r>
      <w:r>
        <w:rPr>
          <w:rFonts w:hint="eastAsia" w:ascii="Times New Roman" w:hAnsi="Times New Roman" w:eastAsia="Times New Roman" w:cs="Times New Roman"/>
          <w:szCs w:val="24"/>
          <w:lang w:val="en-GB"/>
        </w:rPr>
        <w:fldChar w:fldCharType="end"/>
      </w:r>
    </w:p>
    <w:p w14:paraId="6A042590">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Reinhardt, J. (2020). Metaphors for social media‐enhanced foreign language teaching and learning. </w:t>
      </w:r>
      <w:r>
        <w:rPr>
          <w:rFonts w:hint="eastAsia" w:ascii="Times New Roman Italic" w:hAnsi="Times New Roman Italic" w:eastAsia="Times New Roman" w:cs="Times New Roman Italic"/>
          <w:i/>
          <w:iCs/>
          <w:szCs w:val="24"/>
          <w:lang w:val="en-GB"/>
        </w:rPr>
        <w:t>Foreign Language Annals, 53</w:t>
      </w:r>
      <w:r>
        <w:rPr>
          <w:rFonts w:hint="eastAsia" w:ascii="Times New Roman" w:hAnsi="Times New Roman" w:eastAsia="Times New Roman" w:cs="Times New Roman"/>
          <w:szCs w:val="24"/>
          <w:lang w:val="en-GB"/>
        </w:rPr>
        <w:t xml:space="preserve">(2), 234–242. </w:t>
      </w:r>
      <w:r>
        <w:fldChar w:fldCharType="begin"/>
      </w:r>
      <w:r>
        <w:instrText xml:space="preserve"> HYPERLINK "https://doi.org/10.1111/flan.12462" </w:instrText>
      </w:r>
      <w:r>
        <w:fldChar w:fldCharType="separate"/>
      </w:r>
      <w:r>
        <w:rPr>
          <w:rFonts w:hint="eastAsia" w:ascii="Times New Roman" w:hAnsi="Times New Roman" w:eastAsia="Times New Roman" w:cs="Times New Roman"/>
          <w:szCs w:val="24"/>
          <w:lang w:val="en-GB"/>
        </w:rPr>
        <w:t>https://doi.org/10.1111/flan.12462</w:t>
      </w:r>
      <w:r>
        <w:rPr>
          <w:rFonts w:hint="eastAsia" w:ascii="Times New Roman" w:hAnsi="Times New Roman" w:eastAsia="Times New Roman" w:cs="Times New Roman"/>
          <w:szCs w:val="24"/>
          <w:lang w:val="en-GB"/>
        </w:rPr>
        <w:fldChar w:fldCharType="end"/>
      </w:r>
    </w:p>
    <w:p w14:paraId="3983464A">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Relkin, E., &amp; Bers, M. (2021). TechCheck-K: A measure of computational thinking for kindergarten children. 2021 IEEE Global Engineering Education Conference (EDUCON). http://dx.doi.org/10.1109/educon46332.2021.9453926</w:t>
      </w:r>
    </w:p>
    <w:p w14:paraId="3ADD22D0">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Relkin, E., de Ruiter, L. E., &amp; Bers, M. U. (2021). Learning to code and the acquisition of computational thinking by young children. </w:t>
      </w:r>
      <w:r>
        <w:rPr>
          <w:rFonts w:hint="eastAsia" w:ascii="Times New Roman Italic" w:hAnsi="Times New Roman Italic" w:eastAsia="Times New Roman" w:cs="Times New Roman Italic"/>
          <w:i/>
          <w:iCs/>
          <w:szCs w:val="24"/>
          <w:lang w:val="en-GB"/>
        </w:rPr>
        <w:t>Computers &amp; Education, 169</w:t>
      </w:r>
      <w:r>
        <w:rPr>
          <w:rFonts w:hint="eastAsia" w:ascii="Times New Roman" w:hAnsi="Times New Roman" w:eastAsia="Times New Roman" w:cs="Times New Roman"/>
          <w:szCs w:val="24"/>
          <w:lang w:val="en-GB"/>
        </w:rPr>
        <w:t xml:space="preserve">, 104222. </w:t>
      </w:r>
      <w:r>
        <w:fldChar w:fldCharType="begin"/>
      </w:r>
      <w:r>
        <w:instrText xml:space="preserve"> HYPERLINK "https://doi.org/10.1016/j.compedu.2021.104222" </w:instrText>
      </w:r>
      <w:r>
        <w:fldChar w:fldCharType="separate"/>
      </w:r>
      <w:r>
        <w:rPr>
          <w:rFonts w:hint="eastAsia" w:ascii="Times New Roman" w:hAnsi="Times New Roman" w:eastAsia="Times New Roman" w:cs="Times New Roman"/>
          <w:szCs w:val="24"/>
          <w:lang w:val="en-GB"/>
        </w:rPr>
        <w:t>https://doi.org/10.1016/j.compedu.2021.104222</w:t>
      </w:r>
      <w:r>
        <w:rPr>
          <w:rFonts w:hint="eastAsia" w:ascii="Times New Roman" w:hAnsi="Times New Roman" w:eastAsia="Times New Roman" w:cs="Times New Roman"/>
          <w:szCs w:val="24"/>
          <w:lang w:val="en-GB"/>
        </w:rPr>
        <w:fldChar w:fldCharType="end"/>
      </w:r>
    </w:p>
    <w:p w14:paraId="45636DA0">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Rijke, W. J., Bollen, L., Eysink, T. H. S., &amp; Tolboom, J. L. J. (2018). Computational thinking in primary school: An examination of abstraction and decomposition in different age groups. </w:t>
      </w:r>
      <w:r>
        <w:rPr>
          <w:rFonts w:hint="eastAsia" w:ascii="Times New Roman Italic" w:hAnsi="Times New Roman Italic" w:eastAsia="Times New Roman" w:cs="Times New Roman Italic"/>
          <w:i/>
          <w:iCs/>
          <w:szCs w:val="24"/>
          <w:lang w:val="en-GB"/>
        </w:rPr>
        <w:t>Informatics in Education, 17</w:t>
      </w:r>
      <w:r>
        <w:rPr>
          <w:rFonts w:hint="eastAsia" w:ascii="Times New Roman" w:hAnsi="Times New Roman" w:eastAsia="Times New Roman" w:cs="Times New Roman"/>
          <w:szCs w:val="24"/>
          <w:lang w:val="en-GB"/>
        </w:rPr>
        <w:t>(1), 77–92. https://doi.org/10.15388/infedu.2018.05</w:t>
      </w:r>
    </w:p>
    <w:p w14:paraId="100A110D">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Saban, A. (2006). Functions of </w:t>
      </w:r>
      <w:r>
        <w:rPr>
          <w:rFonts w:hint="eastAsia" w:ascii="Times New Roman" w:hAnsi="Times New Roman" w:eastAsia="宋体" w:cs="Times New Roman"/>
          <w:szCs w:val="24"/>
          <w:lang w:eastAsia="zh-CN"/>
        </w:rPr>
        <w:t>m</w:t>
      </w:r>
      <w:r>
        <w:rPr>
          <w:rFonts w:hint="eastAsia" w:ascii="Times New Roman" w:hAnsi="Times New Roman" w:eastAsia="Times New Roman" w:cs="Times New Roman"/>
          <w:szCs w:val="24"/>
          <w:lang w:val="en-GB"/>
        </w:rPr>
        <w:t xml:space="preserve">etaphor in </w:t>
      </w:r>
      <w:r>
        <w:rPr>
          <w:rFonts w:hint="eastAsia" w:ascii="Times New Roman" w:hAnsi="Times New Roman" w:eastAsia="宋体" w:cs="Times New Roman"/>
          <w:szCs w:val="24"/>
          <w:lang w:eastAsia="zh-CN"/>
        </w:rPr>
        <w:t>t</w:t>
      </w:r>
      <w:r>
        <w:rPr>
          <w:rFonts w:hint="eastAsia" w:ascii="Times New Roman" w:hAnsi="Times New Roman" w:eastAsia="Times New Roman" w:cs="Times New Roman"/>
          <w:szCs w:val="24"/>
          <w:lang w:val="en-GB"/>
        </w:rPr>
        <w:t xml:space="preserve">eaching and </w:t>
      </w:r>
      <w:r>
        <w:rPr>
          <w:rFonts w:hint="eastAsia" w:ascii="Times New Roman" w:hAnsi="Times New Roman" w:eastAsia="宋体" w:cs="Times New Roman"/>
          <w:szCs w:val="24"/>
          <w:lang w:eastAsia="zh-CN"/>
        </w:rPr>
        <w:t>t</w:t>
      </w:r>
      <w:r>
        <w:rPr>
          <w:rFonts w:hint="eastAsia" w:ascii="Times New Roman" w:hAnsi="Times New Roman" w:eastAsia="Times New Roman" w:cs="Times New Roman"/>
          <w:szCs w:val="24"/>
          <w:lang w:val="en-GB"/>
        </w:rPr>
        <w:t xml:space="preserve">eacher </w:t>
      </w:r>
      <w:r>
        <w:rPr>
          <w:rFonts w:hint="eastAsia" w:ascii="Times New Roman" w:hAnsi="Times New Roman" w:eastAsia="宋体" w:cs="Times New Roman"/>
          <w:szCs w:val="24"/>
          <w:lang w:eastAsia="zh-CN"/>
        </w:rPr>
        <w:t>e</w:t>
      </w:r>
      <w:r>
        <w:rPr>
          <w:rFonts w:hint="eastAsia" w:ascii="Times New Roman" w:hAnsi="Times New Roman" w:eastAsia="Times New Roman" w:cs="Times New Roman"/>
          <w:szCs w:val="24"/>
          <w:lang w:val="en-GB"/>
        </w:rPr>
        <w:t>ducation: A review essay. </w:t>
      </w:r>
      <w:r>
        <w:rPr>
          <w:rFonts w:hint="eastAsia" w:ascii="Times New Roman Italic" w:hAnsi="Times New Roman Italic" w:eastAsia="Times New Roman" w:cs="Times New Roman Italic"/>
          <w:i/>
          <w:iCs/>
          <w:szCs w:val="24"/>
          <w:lang w:val="en-GB"/>
        </w:rPr>
        <w:t>Teaching Education, 17</w:t>
      </w:r>
      <w:r>
        <w:rPr>
          <w:rFonts w:ascii="Times New Roman" w:hAnsi="Times New Roman" w:eastAsia="Times New Roman" w:cs="Times New Roman"/>
          <w:szCs w:val="24"/>
          <w:lang w:val="en-GB"/>
        </w:rPr>
        <w:t>(</w:t>
      </w:r>
      <w:r>
        <w:rPr>
          <w:rFonts w:hint="eastAsia" w:ascii="Times New Roman" w:hAnsi="Times New Roman" w:eastAsia="Times New Roman" w:cs="Times New Roman"/>
          <w:szCs w:val="24"/>
          <w:lang w:val="en-GB"/>
        </w:rPr>
        <w:t>4), 299–315. https://doi.org/10.1080/10476210601017386</w:t>
      </w:r>
    </w:p>
    <w:p w14:paraId="0CCCA335">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Silvestre-López, A.</w:t>
      </w:r>
      <w:r>
        <w:rPr>
          <w:rFonts w:hint="eastAsia" w:ascii="Times New Roman" w:hAnsi="Times New Roman" w:eastAsia="宋体" w:cs="Times New Roman"/>
          <w:szCs w:val="24"/>
          <w:lang w:eastAsia="zh-CN"/>
        </w:rPr>
        <w:t xml:space="preserve"> </w:t>
      </w:r>
      <w:r>
        <w:rPr>
          <w:rFonts w:hint="eastAsia" w:ascii="Times New Roman" w:hAnsi="Times New Roman" w:eastAsia="Times New Roman" w:cs="Times New Roman"/>
          <w:szCs w:val="24"/>
          <w:lang w:val="en-GB"/>
        </w:rPr>
        <w:t>J. (2022). Uses and functions of conceptual metaphor in pedagogical meditation discourse. </w:t>
      </w:r>
      <w:r>
        <w:rPr>
          <w:rFonts w:hint="eastAsia" w:ascii="Times New Roman Italic" w:hAnsi="Times New Roman Italic" w:eastAsia="Times New Roman" w:cs="Times New Roman Italic"/>
          <w:i/>
          <w:iCs/>
          <w:szCs w:val="24"/>
          <w:lang w:val="en-GB"/>
        </w:rPr>
        <w:t>ELUA, 38</w:t>
      </w:r>
      <w:r>
        <w:rPr>
          <w:rFonts w:hint="eastAsia" w:ascii="Times New Roman" w:hAnsi="Times New Roman" w:eastAsia="Times New Roman" w:cs="Times New Roman"/>
          <w:szCs w:val="24"/>
          <w:lang w:val="en-GB"/>
        </w:rPr>
        <w:t>, 47–7</w:t>
      </w:r>
      <w:r>
        <w:rPr>
          <w:rFonts w:ascii="Times New Roman" w:hAnsi="Times New Roman" w:eastAsia="Times New Roman" w:cs="Times New Roman"/>
          <w:szCs w:val="24"/>
        </w:rPr>
        <w:t>2</w:t>
      </w:r>
      <w:r>
        <w:rPr>
          <w:rFonts w:hint="eastAsia" w:ascii="Times New Roman" w:hAnsi="Times New Roman" w:eastAsia="Times New Roman" w:cs="Times New Roman"/>
          <w:szCs w:val="24"/>
          <w:lang w:val="en-GB"/>
        </w:rPr>
        <w:t xml:space="preserve">. </w:t>
      </w:r>
      <w:r>
        <w:fldChar w:fldCharType="begin"/>
      </w:r>
      <w:r>
        <w:instrText xml:space="preserve"> HYPERLINK "https://doi.org/10.14198/elua.22349" </w:instrText>
      </w:r>
      <w:r>
        <w:fldChar w:fldCharType="separate"/>
      </w:r>
      <w:r>
        <w:rPr>
          <w:rFonts w:hint="eastAsia" w:ascii="Times New Roman" w:hAnsi="Times New Roman" w:eastAsia="Times New Roman" w:cs="Times New Roman"/>
          <w:szCs w:val="24"/>
          <w:lang w:val="en-GB"/>
        </w:rPr>
        <w:t>https://doi.org/10.14198/elua.22349</w:t>
      </w:r>
      <w:r>
        <w:rPr>
          <w:rFonts w:hint="eastAsia" w:ascii="Times New Roman" w:hAnsi="Times New Roman" w:eastAsia="Times New Roman" w:cs="Times New Roman"/>
          <w:szCs w:val="24"/>
          <w:lang w:val="en-GB"/>
        </w:rPr>
        <w:fldChar w:fldCharType="end"/>
      </w:r>
    </w:p>
    <w:p w14:paraId="5D319E29">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Sun, D., Ouyang, F., Li, Y., &amp; Zhu, C. (2021). Comparing learners’ knowledge, behaviors, and attitudes between two instructional modes of computer programming in secondary education. </w:t>
      </w:r>
      <w:r>
        <w:rPr>
          <w:rFonts w:hint="eastAsia" w:ascii="Times New Roman Italic" w:hAnsi="Times New Roman Italic" w:eastAsia="Times New Roman" w:cs="Times New Roman Italic"/>
          <w:i/>
          <w:iCs/>
          <w:szCs w:val="24"/>
          <w:lang w:val="en-GB"/>
        </w:rPr>
        <w:t>International Journal of STEM Education, 8</w:t>
      </w:r>
      <w:r>
        <w:rPr>
          <w:rFonts w:hint="eastAsia" w:ascii="Times New Roman" w:hAnsi="Times New Roman" w:eastAsia="Times New Roman" w:cs="Times New Roman"/>
          <w:szCs w:val="24"/>
          <w:lang w:val="en-GB"/>
        </w:rPr>
        <w:t xml:space="preserve">(1). </w:t>
      </w:r>
      <w:r>
        <w:fldChar w:fldCharType="begin"/>
      </w:r>
      <w:r>
        <w:instrText xml:space="preserve"> HYPERLINK "https://doi.org/10.1186/s40594-021-00311-1" </w:instrText>
      </w:r>
      <w:r>
        <w:fldChar w:fldCharType="separate"/>
      </w:r>
      <w:r>
        <w:rPr>
          <w:rFonts w:hint="eastAsia" w:ascii="Times New Roman" w:hAnsi="Times New Roman" w:eastAsia="Times New Roman" w:cs="Times New Roman"/>
          <w:szCs w:val="24"/>
          <w:lang w:val="en-GB"/>
        </w:rPr>
        <w:t>https://doi.org/10.1186/s40594-021-00311-1</w:t>
      </w:r>
      <w:r>
        <w:rPr>
          <w:rFonts w:hint="eastAsia" w:ascii="Times New Roman" w:hAnsi="Times New Roman" w:eastAsia="Times New Roman" w:cs="Times New Roman"/>
          <w:szCs w:val="24"/>
          <w:lang w:val="en-GB"/>
        </w:rPr>
        <w:fldChar w:fldCharType="end"/>
      </w:r>
    </w:p>
    <w:p w14:paraId="5134D62C">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Sun, L., Hu, L., &amp; Zhou, D. (2022). The bidirectional predictions between primary school students’ STEM and language academic achievements and computational thinking: The moderating role of gender. </w:t>
      </w:r>
      <w:r>
        <w:rPr>
          <w:rFonts w:hint="eastAsia" w:ascii="Times New Roman Italic" w:hAnsi="Times New Roman Italic" w:eastAsia="Times New Roman" w:cs="Times New Roman Italic"/>
          <w:i/>
          <w:iCs/>
          <w:szCs w:val="24"/>
          <w:lang w:val="en-GB"/>
        </w:rPr>
        <w:t>Thinking Skills and Creativity, 44</w:t>
      </w:r>
      <w:r>
        <w:rPr>
          <w:rFonts w:hint="eastAsia" w:ascii="Times New Roman" w:hAnsi="Times New Roman" w:eastAsia="Times New Roman" w:cs="Times New Roman"/>
          <w:szCs w:val="24"/>
          <w:lang w:val="en-GB"/>
        </w:rPr>
        <w:t xml:space="preserve">, 101043. </w:t>
      </w:r>
      <w:r>
        <w:fldChar w:fldCharType="begin"/>
      </w:r>
      <w:r>
        <w:instrText xml:space="preserve"> HYPERLINK "https://doi.org/10.1016/j.tsc.2022.101043" </w:instrText>
      </w:r>
      <w:r>
        <w:fldChar w:fldCharType="separate"/>
      </w:r>
      <w:r>
        <w:rPr>
          <w:rFonts w:hint="eastAsia" w:ascii="Times New Roman" w:hAnsi="Times New Roman" w:eastAsia="Times New Roman" w:cs="Times New Roman"/>
          <w:szCs w:val="24"/>
          <w:lang w:val="en-GB"/>
        </w:rPr>
        <w:t>https://doi.org/10.1016/j.tsc.2022.101043</w:t>
      </w:r>
      <w:r>
        <w:rPr>
          <w:rFonts w:hint="eastAsia" w:ascii="Times New Roman" w:hAnsi="Times New Roman" w:eastAsia="Times New Roman" w:cs="Times New Roman"/>
          <w:szCs w:val="24"/>
          <w:lang w:val="en-GB"/>
        </w:rPr>
        <w:fldChar w:fldCharType="end"/>
      </w:r>
    </w:p>
    <w:p w14:paraId="79280172">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Thomas, G. P., &amp; McRobbie, C. J. (2001). Using a metaphor for learning to improve students’ metacognition in the chemistry classroom. </w:t>
      </w:r>
      <w:r>
        <w:rPr>
          <w:rFonts w:hint="eastAsia" w:ascii="Times New Roman Italic" w:hAnsi="Times New Roman Italic" w:eastAsia="Times New Roman" w:cs="Times New Roman Italic"/>
          <w:i/>
          <w:iCs/>
          <w:szCs w:val="24"/>
          <w:lang w:val="en-GB"/>
        </w:rPr>
        <w:t>Journal of Research in Science Teaching, 38</w:t>
      </w:r>
      <w:r>
        <w:rPr>
          <w:rFonts w:hint="eastAsia" w:ascii="Times New Roman" w:hAnsi="Times New Roman" w:eastAsia="Times New Roman" w:cs="Times New Roman"/>
          <w:szCs w:val="24"/>
          <w:lang w:val="en-GB"/>
        </w:rPr>
        <w:t>(2), 222–259. https://doi.org/</w:t>
      </w:r>
      <w:r>
        <w:fldChar w:fldCharType="begin"/>
      </w:r>
      <w:r>
        <w:instrText xml:space="preserve"> HYPERLINK "http://dx.doi.org/10.1002/1098-2736(200102)38:23.0.CO;2-S" \t "/Users/chenyuchen/Documentsx/_blank" </w:instrText>
      </w:r>
      <w:r>
        <w:fldChar w:fldCharType="separate"/>
      </w:r>
      <w:r>
        <w:rPr>
          <w:rFonts w:hint="eastAsia" w:ascii="Times New Roman" w:hAnsi="Times New Roman" w:eastAsia="Times New Roman" w:cs="Times New Roman"/>
          <w:szCs w:val="24"/>
          <w:lang w:val="en-GB"/>
        </w:rPr>
        <w:t>10.1002/1098-2736(200102)38:23.0.CO;2-S</w:t>
      </w:r>
      <w:r>
        <w:rPr>
          <w:rFonts w:hint="eastAsia" w:ascii="Times New Roman" w:hAnsi="Times New Roman" w:eastAsia="Times New Roman" w:cs="Times New Roman"/>
          <w:szCs w:val="24"/>
          <w:lang w:val="en-GB"/>
        </w:rPr>
        <w:fldChar w:fldCharType="end"/>
      </w:r>
    </w:p>
    <w:p w14:paraId="7ADEA6A6">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 xml:space="preserve">Wing, J. M. (2006). Computational thinking. </w:t>
      </w:r>
      <w:r>
        <w:rPr>
          <w:rFonts w:hint="eastAsia" w:ascii="Times New Roman Italic" w:hAnsi="Times New Roman Italic" w:eastAsia="Times New Roman" w:cs="Times New Roman Italic"/>
          <w:i/>
          <w:iCs/>
          <w:szCs w:val="24"/>
          <w:lang w:val="en-GB"/>
        </w:rPr>
        <w:t>Communications of the ACM, 49</w:t>
      </w:r>
      <w:r>
        <w:rPr>
          <w:rFonts w:hint="eastAsia" w:ascii="Times New Roman" w:hAnsi="Times New Roman" w:eastAsia="Times New Roman" w:cs="Times New Roman"/>
          <w:szCs w:val="24"/>
          <w:lang w:val="en-GB"/>
        </w:rPr>
        <w:t xml:space="preserve">(3), 33–35. </w:t>
      </w:r>
      <w:r>
        <w:fldChar w:fldCharType="begin"/>
      </w:r>
      <w:r>
        <w:instrText xml:space="preserve"> HYPERLINK "https://doi.org/10.1145/1118178.1118215" </w:instrText>
      </w:r>
      <w:r>
        <w:fldChar w:fldCharType="separate"/>
      </w:r>
      <w:r>
        <w:rPr>
          <w:rFonts w:hint="eastAsia" w:ascii="Times New Roman" w:hAnsi="Times New Roman" w:eastAsia="Times New Roman" w:cs="Times New Roman"/>
          <w:szCs w:val="24"/>
          <w:lang w:val="en-GB"/>
        </w:rPr>
        <w:t>https://doi.org/10.1145/1118178.1118215</w:t>
      </w:r>
      <w:r>
        <w:rPr>
          <w:rFonts w:hint="eastAsia" w:ascii="Times New Roman" w:hAnsi="Times New Roman" w:eastAsia="Times New Roman" w:cs="Times New Roman"/>
          <w:szCs w:val="24"/>
          <w:lang w:val="en-GB"/>
        </w:rPr>
        <w:fldChar w:fldCharType="end"/>
      </w:r>
    </w:p>
    <w:p w14:paraId="7B48AE45">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Yang, W., Ng, D. T. K., &amp; Gao, H. (2022). Robot programming versus block play in early childhood education: Effects on computational thinking, sequencing ability, and self‐regulation. </w:t>
      </w:r>
      <w:r>
        <w:rPr>
          <w:rFonts w:hint="eastAsia" w:ascii="Times New Roman Italic" w:hAnsi="Times New Roman Italic" w:eastAsia="Times New Roman" w:cs="Times New Roman Italic"/>
          <w:i/>
          <w:iCs/>
          <w:szCs w:val="24"/>
          <w:lang w:val="en-GB"/>
        </w:rPr>
        <w:t>British Journal of Educational Technology, 53</w:t>
      </w:r>
      <w:r>
        <w:rPr>
          <w:rFonts w:hint="eastAsia" w:ascii="Times New Roman" w:hAnsi="Times New Roman" w:eastAsia="Times New Roman" w:cs="Times New Roman"/>
          <w:szCs w:val="24"/>
          <w:lang w:val="en-GB"/>
        </w:rPr>
        <w:t xml:space="preserve">(6), 1817–1841. </w:t>
      </w:r>
      <w:r>
        <w:fldChar w:fldCharType="begin"/>
      </w:r>
      <w:r>
        <w:instrText xml:space="preserve"> HYPERLINK "https://doi.org/10.1111/bjet.13215" </w:instrText>
      </w:r>
      <w:r>
        <w:fldChar w:fldCharType="separate"/>
      </w:r>
      <w:r>
        <w:rPr>
          <w:rFonts w:hint="eastAsia" w:ascii="Times New Roman" w:hAnsi="Times New Roman" w:eastAsia="Times New Roman" w:cs="Times New Roman"/>
          <w:szCs w:val="24"/>
          <w:lang w:val="en-GB"/>
        </w:rPr>
        <w:t>https://doi.org/10.1111/bjet.13215</w:t>
      </w:r>
      <w:r>
        <w:rPr>
          <w:rFonts w:hint="eastAsia" w:ascii="Times New Roman" w:hAnsi="Times New Roman" w:eastAsia="Times New Roman" w:cs="Times New Roman"/>
          <w:szCs w:val="24"/>
          <w:lang w:val="en-GB"/>
        </w:rPr>
        <w:fldChar w:fldCharType="end"/>
      </w:r>
    </w:p>
    <w:p w14:paraId="7EB3B4E1">
      <w:pPr>
        <w:spacing w:before="120" w:line="360" w:lineRule="auto"/>
        <w:ind w:left="720" w:hanging="720"/>
        <w:contextualSpacing/>
        <w:rPr>
          <w:rFonts w:ascii="Times New Roman" w:hAnsi="Times New Roman" w:eastAsia="Times New Roman" w:cs="Times New Roman"/>
          <w:szCs w:val="24"/>
          <w:lang w:val="en-GB"/>
        </w:rPr>
      </w:pPr>
      <w:r>
        <w:rPr>
          <w:rFonts w:hint="eastAsia" w:ascii="Times New Roman" w:hAnsi="Times New Roman" w:eastAsia="Times New Roman" w:cs="Times New Roman"/>
          <w:szCs w:val="24"/>
          <w:lang w:val="en-GB"/>
        </w:rPr>
        <w:t>Yee, S. P. (2017). Students’ and teachers’ conceptual metaphors for mathematical problem solving. </w:t>
      </w:r>
      <w:r>
        <w:rPr>
          <w:rFonts w:hint="eastAsia" w:ascii="Times New Roman Italic" w:hAnsi="Times New Roman Italic" w:eastAsia="Times New Roman" w:cs="Times New Roman Italic"/>
          <w:i/>
          <w:iCs/>
          <w:szCs w:val="24"/>
          <w:lang w:val="en-GB"/>
        </w:rPr>
        <w:t>School Science and Mathematics, 117</w:t>
      </w:r>
      <w:r>
        <w:rPr>
          <w:rFonts w:hint="eastAsia" w:ascii="Times New Roman" w:hAnsi="Times New Roman" w:eastAsia="Times New Roman" w:cs="Times New Roman"/>
          <w:szCs w:val="24"/>
          <w:lang w:val="en-GB"/>
        </w:rPr>
        <w:t xml:space="preserve">(3–4), 146–157. </w:t>
      </w:r>
      <w:r>
        <w:fldChar w:fldCharType="begin"/>
      </w:r>
      <w:r>
        <w:instrText xml:space="preserve"> HYPERLINK "https://doi.org/10.1111/ssm.12217" </w:instrText>
      </w:r>
      <w:r>
        <w:fldChar w:fldCharType="separate"/>
      </w:r>
      <w:r>
        <w:rPr>
          <w:rFonts w:hint="eastAsia" w:ascii="Times New Roman" w:hAnsi="Times New Roman" w:eastAsia="Times New Roman" w:cs="Times New Roman"/>
          <w:szCs w:val="24"/>
          <w:lang w:val="en-GB"/>
        </w:rPr>
        <w:t>https://doi.org/10.1111/ssm.12217</w:t>
      </w:r>
      <w:r>
        <w:rPr>
          <w:rFonts w:hint="eastAsia" w:ascii="Times New Roman" w:hAnsi="Times New Roman" w:eastAsia="Times New Roman" w:cs="Times New Roman"/>
          <w:szCs w:val="24"/>
          <w:lang w:val="en-GB"/>
        </w:rPr>
        <w:fldChar w:fldCharType="end"/>
      </w:r>
    </w:p>
    <w:p w14:paraId="64D67FA0">
      <w:pPr>
        <w:spacing w:before="120" w:line="360" w:lineRule="auto"/>
        <w:ind w:left="720" w:hanging="720"/>
        <w:contextualSpacing/>
        <w:rPr>
          <w:rFonts w:ascii="Times New Roman" w:hAnsi="Times New Roman" w:eastAsia="標楷體" w:cs="Times New Roman"/>
          <w:szCs w:val="20"/>
        </w:rPr>
      </w:pPr>
      <w:r>
        <w:rPr>
          <w:rFonts w:hint="eastAsia" w:ascii="Times New Roman" w:hAnsi="Times New Roman" w:eastAsia="Times New Roman" w:cs="Times New Roman"/>
          <w:szCs w:val="24"/>
          <w:lang w:val="en-GB"/>
        </w:rPr>
        <w:t>Zhan, Z., He, W., Yi, X., &amp; Ma, S. (2022). Effect of unplugged programming teaching aids on children’s computational thinking and classroom interaction: With respect to piaget’s four stages theory. </w:t>
      </w:r>
      <w:r>
        <w:rPr>
          <w:rFonts w:hint="eastAsia" w:ascii="Times New Roman Italic" w:hAnsi="Times New Roman Italic" w:eastAsia="Times New Roman" w:cs="Times New Roman Italic"/>
          <w:i/>
          <w:iCs/>
          <w:szCs w:val="24"/>
          <w:lang w:val="en-GB"/>
        </w:rPr>
        <w:t>Journal of Educational Computing Research, 60</w:t>
      </w:r>
      <w:r>
        <w:rPr>
          <w:rFonts w:hint="eastAsia" w:ascii="Times New Roman" w:hAnsi="Times New Roman" w:eastAsia="Times New Roman" w:cs="Times New Roman"/>
          <w:szCs w:val="24"/>
          <w:lang w:val="en-GB"/>
        </w:rPr>
        <w:t xml:space="preserve">(5), 1277–1300. </w:t>
      </w:r>
      <w:r>
        <w:fldChar w:fldCharType="begin"/>
      </w:r>
      <w:r>
        <w:instrText xml:space="preserve"> HYPERLINK "https://doi.org/10.1177/07356331211057143" </w:instrText>
      </w:r>
      <w:r>
        <w:fldChar w:fldCharType="separate"/>
      </w:r>
      <w:r>
        <w:rPr>
          <w:rFonts w:hint="eastAsia" w:ascii="Times New Roman" w:hAnsi="Times New Roman" w:eastAsia="Times New Roman" w:cs="Times New Roman"/>
          <w:szCs w:val="24"/>
          <w:lang w:val="en-GB"/>
        </w:rPr>
        <w:t>https://doi.org/10.1177/07356331211057143</w:t>
      </w:r>
      <w:r>
        <w:rPr>
          <w:rFonts w:hint="eastAsia" w:ascii="Times New Roman" w:hAnsi="Times New Roman" w:eastAsia="Times New Roman" w:cs="Times New Roman"/>
          <w:szCs w:val="24"/>
          <w:lang w:val="en-GB"/>
        </w:rPr>
        <w:fldChar w:fldCharType="end"/>
      </w:r>
    </w:p>
    <w:p w14:paraId="13A0303C">
      <w:pPr>
        <w:spacing w:line="360" w:lineRule="auto"/>
        <w:ind w:left="480" w:hanging="480" w:hangingChars="200"/>
        <w:rPr>
          <w:rFonts w:ascii="Times New Roman" w:hAnsi="Times New Roman" w:eastAsia="標楷體" w:cs="Times New Roman"/>
          <w:szCs w:val="20"/>
        </w:rPr>
      </w:pPr>
      <w:r>
        <w:rPr>
          <w:rFonts w:ascii="Times New Roman" w:hAnsi="Times New Roman" w:eastAsia="標楷體" w:cs="Times New Roman"/>
          <w:szCs w:val="20"/>
        </w:rPr>
        <w:t>Zhang, X., Chen, Y., Bao, Y., &amp; Hu, L. (2023</w:t>
      </w:r>
      <w:r>
        <w:rPr>
          <w:rFonts w:hint="eastAsia" w:ascii="Times New Roman" w:hAnsi="Times New Roman" w:eastAsia="標楷體" w:cs="Times New Roman"/>
          <w:szCs w:val="20"/>
          <w:lang w:val="en-US" w:eastAsia="zh-CN"/>
        </w:rPr>
        <w:t>a</w:t>
      </w:r>
      <w:r>
        <w:rPr>
          <w:rFonts w:ascii="Times New Roman" w:hAnsi="Times New Roman" w:eastAsia="標楷體" w:cs="Times New Roman"/>
          <w:szCs w:val="20"/>
        </w:rPr>
        <w:t>). Robot illustrated: Exploring elementary students’ perceptions of robots via the draw-a-robot test. </w:t>
      </w:r>
      <w:r>
        <w:rPr>
          <w:rFonts w:hint="default" w:ascii="Times New Roman Italic" w:hAnsi="Times New Roman Italic" w:eastAsia="標楷體" w:cs="Times New Roman Italic"/>
          <w:i/>
          <w:iCs/>
          <w:szCs w:val="20"/>
        </w:rPr>
        <w:t>Journal of Research on Technology in Education,</w:t>
      </w:r>
      <w:r>
        <w:rPr>
          <w:rFonts w:ascii="Times New Roman" w:hAnsi="Times New Roman" w:eastAsia="標楷體" w:cs="Times New Roman"/>
          <w:szCs w:val="20"/>
        </w:rPr>
        <w:t xml:space="preserve"> 1–26. https://doi.org/10.1080/15391523.2023.2232058</w:t>
      </w:r>
    </w:p>
    <w:p w14:paraId="6359D74E">
      <w:pPr>
        <w:spacing w:line="360" w:lineRule="auto"/>
        <w:ind w:left="480" w:hanging="480" w:hangingChars="200"/>
        <w:rPr>
          <w:rFonts w:ascii="Times New Roman" w:hAnsi="Times New Roman" w:cs="Times New Roman"/>
          <w:szCs w:val="24"/>
          <w:shd w:val="clear" w:color="auto" w:fill="FFFFFF"/>
        </w:rPr>
      </w:pPr>
      <w:r>
        <w:rPr>
          <w:rFonts w:ascii="Times New Roman" w:hAnsi="Times New Roman" w:cs="Times New Roman"/>
          <w:szCs w:val="24"/>
          <w:shd w:val="clear" w:color="auto" w:fill="FFFFFF"/>
        </w:rPr>
        <w:t>Zhang, X., Chen, Y., Li, D., Hu, L., Hwang, G.</w:t>
      </w:r>
      <w:r>
        <w:rPr>
          <w:rFonts w:hint="eastAsia" w:ascii="Times New Roman" w:hAnsi="Times New Roman" w:cs="Times New Roman"/>
          <w:szCs w:val="24"/>
          <w:shd w:val="clear" w:color="auto" w:fill="FFFFFF"/>
          <w:lang w:val="en-US" w:eastAsia="zh-CN"/>
        </w:rPr>
        <w:t xml:space="preserve"> </w:t>
      </w:r>
      <w:r>
        <w:rPr>
          <w:rFonts w:ascii="Times New Roman" w:hAnsi="Times New Roman" w:cs="Times New Roman"/>
          <w:szCs w:val="24"/>
          <w:shd w:val="clear" w:color="auto" w:fill="FFFFFF"/>
        </w:rPr>
        <w:t>J., &amp; Tu, Y.</w:t>
      </w:r>
      <w:r>
        <w:rPr>
          <w:rFonts w:hint="eastAsia" w:ascii="Times New Roman" w:hAnsi="Times New Roman" w:cs="Times New Roman"/>
          <w:szCs w:val="24"/>
          <w:shd w:val="clear" w:color="auto" w:fill="FFFFFF"/>
          <w:lang w:val="en-US" w:eastAsia="zh-CN"/>
        </w:rPr>
        <w:t xml:space="preserve"> </w:t>
      </w:r>
      <w:r>
        <w:rPr>
          <w:rFonts w:ascii="Times New Roman" w:hAnsi="Times New Roman" w:cs="Times New Roman"/>
          <w:szCs w:val="24"/>
          <w:shd w:val="clear" w:color="auto" w:fill="FFFFFF"/>
        </w:rPr>
        <w:t>F. (2023). Engaging young students in effective robotics education: An embodied learning-based computer programming approach.</w:t>
      </w:r>
      <w:r>
        <w:rPr>
          <w:rFonts w:hint="default" w:ascii="Times New Roman Italic" w:hAnsi="Times New Roman Italic" w:cs="Times New Roman Italic"/>
          <w:i/>
          <w:iCs/>
          <w:szCs w:val="24"/>
          <w:shd w:val="clear" w:color="auto" w:fill="FFFFFF"/>
        </w:rPr>
        <w:t> Journal of Educational Computing Research, 62</w:t>
      </w:r>
      <w:r>
        <w:rPr>
          <w:rFonts w:ascii="Times New Roman" w:hAnsi="Times New Roman" w:cs="Times New Roman"/>
          <w:szCs w:val="24"/>
          <w:shd w:val="clear" w:color="auto" w:fill="FFFFFF"/>
        </w:rPr>
        <w:t>(2), 532–558. https://doi.org/10.1177/07356331231213548</w:t>
      </w:r>
    </w:p>
    <w:sectPr>
      <w:pgSz w:w="11906" w:h="16838"/>
      <w:pgMar w:top="1440" w:right="1080" w:bottom="1440" w:left="108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PMingLiU">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標楷體">
    <w:altName w:val="宋体"/>
    <w:panose1 w:val="03000509000000000000"/>
    <w:charset w:val="88"/>
    <w:family w:val="script"/>
    <w:pitch w:val="default"/>
    <w:sig w:usb0="00000000" w:usb1="00000000" w:usb2="00000016" w:usb3="00000000" w:csb0="00100001" w:csb1="00000000"/>
  </w:font>
  <w:font w:name="汉仪楷体简">
    <w:altName w:val="宋体"/>
    <w:panose1 w:val="02010600000101010101"/>
    <w:charset w:val="86"/>
    <w:family w:val="auto"/>
    <w:pitch w:val="default"/>
    <w:sig w:usb0="00000000" w:usb1="00000000" w:usb2="00000002" w:usb3="00000000" w:csb0="00040000" w:csb1="00000000"/>
  </w:font>
  <w:font w:name="宋体-繁">
    <w:altName w:val="宋体"/>
    <w:panose1 w:val="02010600040101010101"/>
    <w:charset w:val="86"/>
    <w:family w:val="auto"/>
    <w:pitch w:val="default"/>
    <w:sig w:usb0="00000000" w:usb1="00000000" w:usb2="00000000" w:usb3="00000000" w:csb0="0004009F" w:csb1="DFD70000"/>
  </w:font>
  <w:font w:name="Times New Roman Regular">
    <w:altName w:val="Times New Roman"/>
    <w:panose1 w:val="02020603050405020304"/>
    <w:charset w:val="00"/>
    <w:family w:val="auto"/>
    <w:pitch w:val="default"/>
    <w:sig w:usb0="00000000" w:usb1="00000000" w:usb2="00000009" w:usb3="00000000" w:csb0="400001FF" w:csb1="FFFF0000"/>
  </w:font>
  <w:font w:name="Times New Roman Italic">
    <w:altName w:val="Times New Roman"/>
    <w:panose1 w:val="02020603050405020304"/>
    <w:charset w:val="00"/>
    <w:family w:val="auto"/>
    <w:pitch w:val="default"/>
    <w:sig w:usb0="00000000" w:usb1="00000000" w:usb2="00000009" w:usb3="00000000" w:csb0="400001FF" w:csb1="FFFF0000"/>
  </w:font>
  <w:font w:name="Times New Roman Bold">
    <w:altName w:val="Times New Roman"/>
    <w:panose1 w:val="02020603050405020304"/>
    <w:charset w:val="00"/>
    <w:family w:val="auto"/>
    <w:pitch w:val="default"/>
    <w:sig w:usb0="00000000" w:usb1="00000000" w:usb2="00000009" w:usb3="00000000" w:csb0="400001FF" w:csb1="FFFF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EC2525"/>
    <w:multiLevelType w:val="multilevel"/>
    <w:tmpl w:val="E7EC2525"/>
    <w:lvl w:ilvl="0" w:tentative="0">
      <w:start w:val="1"/>
      <w:numFmt w:val="decimal"/>
      <w:lvlText w:val="(%1)"/>
      <w:lvlJc w:val="left"/>
      <w:pPr>
        <w:ind w:left="480" w:hanging="480"/>
      </w:pPr>
      <w:rPr>
        <w:rFonts w:hint="eastAsia"/>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1">
    <w:nsid w:val="0F7C4B74"/>
    <w:multiLevelType w:val="multilevel"/>
    <w:tmpl w:val="0F7C4B74"/>
    <w:lvl w:ilvl="0" w:tentative="0">
      <w:start w:val="1"/>
      <w:numFmt w:val="decimal"/>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
    <w:nsid w:val="33DE7B7C"/>
    <w:multiLevelType w:val="multilevel"/>
    <w:tmpl w:val="33DE7B7C"/>
    <w:lvl w:ilvl="0" w:tentative="0">
      <w:start w:val="1"/>
      <w:numFmt w:val="decimal"/>
      <w:lvlText w:val="(%1)"/>
      <w:lvlJc w:val="left"/>
      <w:pPr>
        <w:ind w:left="480" w:hanging="480"/>
      </w:pPr>
      <w:rPr>
        <w:rFonts w:hint="eastAsia"/>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3">
    <w:nsid w:val="3C5C4F51"/>
    <w:multiLevelType w:val="multilevel"/>
    <w:tmpl w:val="3C5C4F51"/>
    <w:lvl w:ilvl="0" w:tentative="0">
      <w:start w:val="2"/>
      <w:numFmt w:val="decimal"/>
      <w:lvlText w:val="%1."/>
      <w:lvlJc w:val="left"/>
      <w:pPr>
        <w:ind w:left="360" w:hanging="360"/>
      </w:pPr>
      <w:rPr>
        <w:rFonts w:hint="default"/>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80"/>
  <w:drawingGridHorizontalSpacing w:val="1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BE"/>
    <w:rsid w:val="00000632"/>
    <w:rsid w:val="0000169C"/>
    <w:rsid w:val="00004625"/>
    <w:rsid w:val="00007AA6"/>
    <w:rsid w:val="00010C21"/>
    <w:rsid w:val="00012ACB"/>
    <w:rsid w:val="00014C3A"/>
    <w:rsid w:val="00015822"/>
    <w:rsid w:val="000234DF"/>
    <w:rsid w:val="000239E4"/>
    <w:rsid w:val="000260D9"/>
    <w:rsid w:val="00027851"/>
    <w:rsid w:val="000279BD"/>
    <w:rsid w:val="0003006D"/>
    <w:rsid w:val="00030902"/>
    <w:rsid w:val="000309FE"/>
    <w:rsid w:val="00030B0A"/>
    <w:rsid w:val="00031410"/>
    <w:rsid w:val="000324C8"/>
    <w:rsid w:val="0003271A"/>
    <w:rsid w:val="0003437A"/>
    <w:rsid w:val="00041AD8"/>
    <w:rsid w:val="00043367"/>
    <w:rsid w:val="00046861"/>
    <w:rsid w:val="00046FFF"/>
    <w:rsid w:val="0005009B"/>
    <w:rsid w:val="00052806"/>
    <w:rsid w:val="00057D59"/>
    <w:rsid w:val="00062A2D"/>
    <w:rsid w:val="0006334B"/>
    <w:rsid w:val="00063538"/>
    <w:rsid w:val="00063A78"/>
    <w:rsid w:val="000655F1"/>
    <w:rsid w:val="00065889"/>
    <w:rsid w:val="000718B5"/>
    <w:rsid w:val="00074FDF"/>
    <w:rsid w:val="000778F4"/>
    <w:rsid w:val="00082372"/>
    <w:rsid w:val="00085076"/>
    <w:rsid w:val="00086361"/>
    <w:rsid w:val="00086F6F"/>
    <w:rsid w:val="00087184"/>
    <w:rsid w:val="000920D9"/>
    <w:rsid w:val="00092EFC"/>
    <w:rsid w:val="00093034"/>
    <w:rsid w:val="00093256"/>
    <w:rsid w:val="0009526E"/>
    <w:rsid w:val="000971CB"/>
    <w:rsid w:val="000971E7"/>
    <w:rsid w:val="000971E9"/>
    <w:rsid w:val="000A046E"/>
    <w:rsid w:val="000A11A4"/>
    <w:rsid w:val="000A165E"/>
    <w:rsid w:val="000A3D63"/>
    <w:rsid w:val="000A4995"/>
    <w:rsid w:val="000A5DA9"/>
    <w:rsid w:val="000A6A5A"/>
    <w:rsid w:val="000A7843"/>
    <w:rsid w:val="000A7DFE"/>
    <w:rsid w:val="000B00B8"/>
    <w:rsid w:val="000B0490"/>
    <w:rsid w:val="000B0E98"/>
    <w:rsid w:val="000B2647"/>
    <w:rsid w:val="000B44F5"/>
    <w:rsid w:val="000B513B"/>
    <w:rsid w:val="000B5475"/>
    <w:rsid w:val="000B584D"/>
    <w:rsid w:val="000B7138"/>
    <w:rsid w:val="000C7437"/>
    <w:rsid w:val="000C74C3"/>
    <w:rsid w:val="000D0329"/>
    <w:rsid w:val="000D0616"/>
    <w:rsid w:val="000D198F"/>
    <w:rsid w:val="000D29DB"/>
    <w:rsid w:val="000D3C69"/>
    <w:rsid w:val="000D4DAC"/>
    <w:rsid w:val="000D7FC6"/>
    <w:rsid w:val="000E1BFF"/>
    <w:rsid w:val="000E204B"/>
    <w:rsid w:val="000E2FC5"/>
    <w:rsid w:val="000E49A3"/>
    <w:rsid w:val="000E6D8E"/>
    <w:rsid w:val="000E74A4"/>
    <w:rsid w:val="000E7928"/>
    <w:rsid w:val="000F0434"/>
    <w:rsid w:val="000F0567"/>
    <w:rsid w:val="000F0D96"/>
    <w:rsid w:val="000F1B1D"/>
    <w:rsid w:val="000F3B4A"/>
    <w:rsid w:val="000F41CA"/>
    <w:rsid w:val="001029AF"/>
    <w:rsid w:val="0010361D"/>
    <w:rsid w:val="001059FC"/>
    <w:rsid w:val="00106942"/>
    <w:rsid w:val="00107493"/>
    <w:rsid w:val="0010788E"/>
    <w:rsid w:val="00107DCB"/>
    <w:rsid w:val="00110035"/>
    <w:rsid w:val="001108CC"/>
    <w:rsid w:val="001118D9"/>
    <w:rsid w:val="0011474A"/>
    <w:rsid w:val="00115A18"/>
    <w:rsid w:val="00116BF4"/>
    <w:rsid w:val="00116D59"/>
    <w:rsid w:val="00116D73"/>
    <w:rsid w:val="0012041F"/>
    <w:rsid w:val="001259C7"/>
    <w:rsid w:val="001274A6"/>
    <w:rsid w:val="00130315"/>
    <w:rsid w:val="001324E3"/>
    <w:rsid w:val="00133BB2"/>
    <w:rsid w:val="001408DA"/>
    <w:rsid w:val="001416A6"/>
    <w:rsid w:val="0014529B"/>
    <w:rsid w:val="00146924"/>
    <w:rsid w:val="0015122E"/>
    <w:rsid w:val="001552A2"/>
    <w:rsid w:val="00155EC3"/>
    <w:rsid w:val="001563A6"/>
    <w:rsid w:val="00156E6C"/>
    <w:rsid w:val="0016067B"/>
    <w:rsid w:val="001634A8"/>
    <w:rsid w:val="00167882"/>
    <w:rsid w:val="0017005D"/>
    <w:rsid w:val="001712A3"/>
    <w:rsid w:val="001720A2"/>
    <w:rsid w:val="0017210A"/>
    <w:rsid w:val="0017744F"/>
    <w:rsid w:val="0018013D"/>
    <w:rsid w:val="001802BD"/>
    <w:rsid w:val="00181266"/>
    <w:rsid w:val="0018162C"/>
    <w:rsid w:val="00183851"/>
    <w:rsid w:val="00184E15"/>
    <w:rsid w:val="0018606D"/>
    <w:rsid w:val="00191735"/>
    <w:rsid w:val="00194B5C"/>
    <w:rsid w:val="001962ED"/>
    <w:rsid w:val="00196D7F"/>
    <w:rsid w:val="001A2647"/>
    <w:rsid w:val="001A5C07"/>
    <w:rsid w:val="001A64B8"/>
    <w:rsid w:val="001B2829"/>
    <w:rsid w:val="001B67D2"/>
    <w:rsid w:val="001B772D"/>
    <w:rsid w:val="001C0087"/>
    <w:rsid w:val="001C14A0"/>
    <w:rsid w:val="001C1706"/>
    <w:rsid w:val="001C3DF4"/>
    <w:rsid w:val="001C688B"/>
    <w:rsid w:val="001C736A"/>
    <w:rsid w:val="001C7C73"/>
    <w:rsid w:val="001D0CE3"/>
    <w:rsid w:val="001D2151"/>
    <w:rsid w:val="001D31DB"/>
    <w:rsid w:val="001D33EC"/>
    <w:rsid w:val="001D4597"/>
    <w:rsid w:val="001D5872"/>
    <w:rsid w:val="001D5A94"/>
    <w:rsid w:val="001D7A47"/>
    <w:rsid w:val="001E1E24"/>
    <w:rsid w:val="001E4B32"/>
    <w:rsid w:val="001E5202"/>
    <w:rsid w:val="001E5D29"/>
    <w:rsid w:val="001E5DFF"/>
    <w:rsid w:val="001E6C2A"/>
    <w:rsid w:val="001E7BA0"/>
    <w:rsid w:val="001E7E4D"/>
    <w:rsid w:val="001F0BEE"/>
    <w:rsid w:val="001F2133"/>
    <w:rsid w:val="001F22B0"/>
    <w:rsid w:val="001F2E6F"/>
    <w:rsid w:val="001F4930"/>
    <w:rsid w:val="001F7219"/>
    <w:rsid w:val="00200660"/>
    <w:rsid w:val="00201A81"/>
    <w:rsid w:val="00205539"/>
    <w:rsid w:val="002059CC"/>
    <w:rsid w:val="002108CA"/>
    <w:rsid w:val="002112D8"/>
    <w:rsid w:val="00211C4F"/>
    <w:rsid w:val="00212DD2"/>
    <w:rsid w:val="00213B36"/>
    <w:rsid w:val="00213D24"/>
    <w:rsid w:val="002150D0"/>
    <w:rsid w:val="002151A7"/>
    <w:rsid w:val="0021737B"/>
    <w:rsid w:val="002233E8"/>
    <w:rsid w:val="002239B1"/>
    <w:rsid w:val="00226659"/>
    <w:rsid w:val="00233237"/>
    <w:rsid w:val="00233EDA"/>
    <w:rsid w:val="0023532B"/>
    <w:rsid w:val="00237A98"/>
    <w:rsid w:val="00240B42"/>
    <w:rsid w:val="0024445B"/>
    <w:rsid w:val="00245069"/>
    <w:rsid w:val="00246277"/>
    <w:rsid w:val="00246C61"/>
    <w:rsid w:val="0024769A"/>
    <w:rsid w:val="002509BF"/>
    <w:rsid w:val="00251649"/>
    <w:rsid w:val="0025425A"/>
    <w:rsid w:val="0026050F"/>
    <w:rsid w:val="002609DC"/>
    <w:rsid w:val="00262691"/>
    <w:rsid w:val="00262AB2"/>
    <w:rsid w:val="0026565C"/>
    <w:rsid w:val="00265C71"/>
    <w:rsid w:val="002670ED"/>
    <w:rsid w:val="00267C3E"/>
    <w:rsid w:val="00270DD9"/>
    <w:rsid w:val="0027227D"/>
    <w:rsid w:val="00273323"/>
    <w:rsid w:val="002760E7"/>
    <w:rsid w:val="002769FB"/>
    <w:rsid w:val="00280669"/>
    <w:rsid w:val="0028120C"/>
    <w:rsid w:val="00281F4B"/>
    <w:rsid w:val="00285542"/>
    <w:rsid w:val="00286971"/>
    <w:rsid w:val="00287714"/>
    <w:rsid w:val="002920B9"/>
    <w:rsid w:val="00293DED"/>
    <w:rsid w:val="002944E8"/>
    <w:rsid w:val="002970ED"/>
    <w:rsid w:val="002A2FE9"/>
    <w:rsid w:val="002A3A53"/>
    <w:rsid w:val="002A3B78"/>
    <w:rsid w:val="002A4411"/>
    <w:rsid w:val="002A634F"/>
    <w:rsid w:val="002B0A6D"/>
    <w:rsid w:val="002B101E"/>
    <w:rsid w:val="002B18D6"/>
    <w:rsid w:val="002B3AF0"/>
    <w:rsid w:val="002B4663"/>
    <w:rsid w:val="002B78FE"/>
    <w:rsid w:val="002C27E7"/>
    <w:rsid w:val="002C2889"/>
    <w:rsid w:val="002C4000"/>
    <w:rsid w:val="002C495F"/>
    <w:rsid w:val="002C4A13"/>
    <w:rsid w:val="002C5590"/>
    <w:rsid w:val="002C6E0B"/>
    <w:rsid w:val="002D1C6C"/>
    <w:rsid w:val="002D3117"/>
    <w:rsid w:val="002D5C6D"/>
    <w:rsid w:val="002E0FE4"/>
    <w:rsid w:val="002E1BEE"/>
    <w:rsid w:val="002E1C44"/>
    <w:rsid w:val="002E1CC8"/>
    <w:rsid w:val="002E2171"/>
    <w:rsid w:val="002E4A91"/>
    <w:rsid w:val="002E4B30"/>
    <w:rsid w:val="002E6BA1"/>
    <w:rsid w:val="002F027E"/>
    <w:rsid w:val="002F4156"/>
    <w:rsid w:val="002F5298"/>
    <w:rsid w:val="002F547C"/>
    <w:rsid w:val="002F646C"/>
    <w:rsid w:val="0030239E"/>
    <w:rsid w:val="00302709"/>
    <w:rsid w:val="00302FE0"/>
    <w:rsid w:val="00304E9A"/>
    <w:rsid w:val="00306AED"/>
    <w:rsid w:val="003127D9"/>
    <w:rsid w:val="00312CC4"/>
    <w:rsid w:val="00313C73"/>
    <w:rsid w:val="0031472D"/>
    <w:rsid w:val="00316267"/>
    <w:rsid w:val="0031647A"/>
    <w:rsid w:val="00317594"/>
    <w:rsid w:val="0032237E"/>
    <w:rsid w:val="00326C63"/>
    <w:rsid w:val="00331992"/>
    <w:rsid w:val="00331E1D"/>
    <w:rsid w:val="003323CD"/>
    <w:rsid w:val="003327E2"/>
    <w:rsid w:val="00332E35"/>
    <w:rsid w:val="0033582D"/>
    <w:rsid w:val="00335F87"/>
    <w:rsid w:val="003414BA"/>
    <w:rsid w:val="00346CC2"/>
    <w:rsid w:val="00347082"/>
    <w:rsid w:val="003474F5"/>
    <w:rsid w:val="0035426D"/>
    <w:rsid w:val="003542A0"/>
    <w:rsid w:val="003544F4"/>
    <w:rsid w:val="00355CCC"/>
    <w:rsid w:val="00355E31"/>
    <w:rsid w:val="00356472"/>
    <w:rsid w:val="003610ED"/>
    <w:rsid w:val="003611C4"/>
    <w:rsid w:val="003633AA"/>
    <w:rsid w:val="00363692"/>
    <w:rsid w:val="003638F7"/>
    <w:rsid w:val="003642D3"/>
    <w:rsid w:val="00364D9A"/>
    <w:rsid w:val="003659AA"/>
    <w:rsid w:val="003663E5"/>
    <w:rsid w:val="00370197"/>
    <w:rsid w:val="0037034E"/>
    <w:rsid w:val="00370A13"/>
    <w:rsid w:val="00371479"/>
    <w:rsid w:val="00372AED"/>
    <w:rsid w:val="00374615"/>
    <w:rsid w:val="003750F0"/>
    <w:rsid w:val="00375CFA"/>
    <w:rsid w:val="00377882"/>
    <w:rsid w:val="003823CD"/>
    <w:rsid w:val="0038292C"/>
    <w:rsid w:val="00383120"/>
    <w:rsid w:val="0038352C"/>
    <w:rsid w:val="00383894"/>
    <w:rsid w:val="00383B2D"/>
    <w:rsid w:val="00384AF0"/>
    <w:rsid w:val="00385555"/>
    <w:rsid w:val="00385E87"/>
    <w:rsid w:val="003865FE"/>
    <w:rsid w:val="003869BD"/>
    <w:rsid w:val="00392A5F"/>
    <w:rsid w:val="00392EE7"/>
    <w:rsid w:val="0039367E"/>
    <w:rsid w:val="00395F1D"/>
    <w:rsid w:val="00396E86"/>
    <w:rsid w:val="003A23D6"/>
    <w:rsid w:val="003A2C75"/>
    <w:rsid w:val="003A3002"/>
    <w:rsid w:val="003A3BE1"/>
    <w:rsid w:val="003A55BC"/>
    <w:rsid w:val="003A6596"/>
    <w:rsid w:val="003A6F5E"/>
    <w:rsid w:val="003B06E4"/>
    <w:rsid w:val="003B0DDD"/>
    <w:rsid w:val="003B2A99"/>
    <w:rsid w:val="003B2ED5"/>
    <w:rsid w:val="003B740F"/>
    <w:rsid w:val="003C223A"/>
    <w:rsid w:val="003C3246"/>
    <w:rsid w:val="003C4D53"/>
    <w:rsid w:val="003C62D0"/>
    <w:rsid w:val="003C7F6E"/>
    <w:rsid w:val="003D096F"/>
    <w:rsid w:val="003D1E6C"/>
    <w:rsid w:val="003D1E91"/>
    <w:rsid w:val="003D1F47"/>
    <w:rsid w:val="003D229E"/>
    <w:rsid w:val="003D27BD"/>
    <w:rsid w:val="003D352B"/>
    <w:rsid w:val="003D42A2"/>
    <w:rsid w:val="003D7CA2"/>
    <w:rsid w:val="003E1A73"/>
    <w:rsid w:val="003E1E7E"/>
    <w:rsid w:val="003E395A"/>
    <w:rsid w:val="003E3F8A"/>
    <w:rsid w:val="003E6EC8"/>
    <w:rsid w:val="003E6FCA"/>
    <w:rsid w:val="003E6FD2"/>
    <w:rsid w:val="003E732D"/>
    <w:rsid w:val="003F0130"/>
    <w:rsid w:val="003F340B"/>
    <w:rsid w:val="003F3CD1"/>
    <w:rsid w:val="003F5510"/>
    <w:rsid w:val="003F6293"/>
    <w:rsid w:val="00401BE1"/>
    <w:rsid w:val="00402999"/>
    <w:rsid w:val="0040305B"/>
    <w:rsid w:val="00403623"/>
    <w:rsid w:val="00405DA9"/>
    <w:rsid w:val="0041085B"/>
    <w:rsid w:val="0041271E"/>
    <w:rsid w:val="004133F4"/>
    <w:rsid w:val="004160A0"/>
    <w:rsid w:val="00421485"/>
    <w:rsid w:val="00423B27"/>
    <w:rsid w:val="00423DB5"/>
    <w:rsid w:val="0042470D"/>
    <w:rsid w:val="0042483A"/>
    <w:rsid w:val="00424BE5"/>
    <w:rsid w:val="004250B5"/>
    <w:rsid w:val="00427472"/>
    <w:rsid w:val="004275BA"/>
    <w:rsid w:val="00427790"/>
    <w:rsid w:val="00430181"/>
    <w:rsid w:val="00430BF0"/>
    <w:rsid w:val="00431509"/>
    <w:rsid w:val="0043600B"/>
    <w:rsid w:val="00436499"/>
    <w:rsid w:val="00436CA3"/>
    <w:rsid w:val="004375D8"/>
    <w:rsid w:val="00437808"/>
    <w:rsid w:val="00440A75"/>
    <w:rsid w:val="00441554"/>
    <w:rsid w:val="004415F7"/>
    <w:rsid w:val="00441B77"/>
    <w:rsid w:val="0044228C"/>
    <w:rsid w:val="004448FE"/>
    <w:rsid w:val="0044682E"/>
    <w:rsid w:val="004470CF"/>
    <w:rsid w:val="00454D82"/>
    <w:rsid w:val="00456727"/>
    <w:rsid w:val="00463A2C"/>
    <w:rsid w:val="00463C49"/>
    <w:rsid w:val="0046437E"/>
    <w:rsid w:val="00464E42"/>
    <w:rsid w:val="00465E12"/>
    <w:rsid w:val="00470371"/>
    <w:rsid w:val="00470B2F"/>
    <w:rsid w:val="004716CF"/>
    <w:rsid w:val="00473744"/>
    <w:rsid w:val="00473E3F"/>
    <w:rsid w:val="00474165"/>
    <w:rsid w:val="00481585"/>
    <w:rsid w:val="004819AA"/>
    <w:rsid w:val="0048316E"/>
    <w:rsid w:val="00485F3E"/>
    <w:rsid w:val="004877A6"/>
    <w:rsid w:val="00487836"/>
    <w:rsid w:val="00487A4F"/>
    <w:rsid w:val="00487B07"/>
    <w:rsid w:val="00487B53"/>
    <w:rsid w:val="004918BB"/>
    <w:rsid w:val="00493F61"/>
    <w:rsid w:val="00494C04"/>
    <w:rsid w:val="0049543A"/>
    <w:rsid w:val="0049555D"/>
    <w:rsid w:val="004A11C6"/>
    <w:rsid w:val="004A1CCE"/>
    <w:rsid w:val="004A21EA"/>
    <w:rsid w:val="004A3E33"/>
    <w:rsid w:val="004A46A9"/>
    <w:rsid w:val="004A6B7E"/>
    <w:rsid w:val="004B275D"/>
    <w:rsid w:val="004B2D61"/>
    <w:rsid w:val="004B3356"/>
    <w:rsid w:val="004B3553"/>
    <w:rsid w:val="004B4061"/>
    <w:rsid w:val="004B4D82"/>
    <w:rsid w:val="004B5D5D"/>
    <w:rsid w:val="004B5F3A"/>
    <w:rsid w:val="004B6684"/>
    <w:rsid w:val="004C17EE"/>
    <w:rsid w:val="004C24EA"/>
    <w:rsid w:val="004C3B0E"/>
    <w:rsid w:val="004C419D"/>
    <w:rsid w:val="004C4A0E"/>
    <w:rsid w:val="004C50D7"/>
    <w:rsid w:val="004C50E3"/>
    <w:rsid w:val="004C57C2"/>
    <w:rsid w:val="004C5BE8"/>
    <w:rsid w:val="004C6BF5"/>
    <w:rsid w:val="004C734E"/>
    <w:rsid w:val="004C74F9"/>
    <w:rsid w:val="004C7AE1"/>
    <w:rsid w:val="004C7EBB"/>
    <w:rsid w:val="004D0521"/>
    <w:rsid w:val="004D2C38"/>
    <w:rsid w:val="004D2E5C"/>
    <w:rsid w:val="004D4E27"/>
    <w:rsid w:val="004E4315"/>
    <w:rsid w:val="004E530F"/>
    <w:rsid w:val="004E607D"/>
    <w:rsid w:val="004E7341"/>
    <w:rsid w:val="004E7647"/>
    <w:rsid w:val="004F1130"/>
    <w:rsid w:val="004F3D8A"/>
    <w:rsid w:val="00500113"/>
    <w:rsid w:val="0050202C"/>
    <w:rsid w:val="005039C6"/>
    <w:rsid w:val="00503BD5"/>
    <w:rsid w:val="00506888"/>
    <w:rsid w:val="00511104"/>
    <w:rsid w:val="00512266"/>
    <w:rsid w:val="0051384B"/>
    <w:rsid w:val="00513AF4"/>
    <w:rsid w:val="00513CA0"/>
    <w:rsid w:val="00520FED"/>
    <w:rsid w:val="0052122C"/>
    <w:rsid w:val="00521437"/>
    <w:rsid w:val="0052167E"/>
    <w:rsid w:val="005232A7"/>
    <w:rsid w:val="005234BC"/>
    <w:rsid w:val="00523C38"/>
    <w:rsid w:val="00523FB9"/>
    <w:rsid w:val="00524135"/>
    <w:rsid w:val="0052476C"/>
    <w:rsid w:val="005267D7"/>
    <w:rsid w:val="0052747C"/>
    <w:rsid w:val="005300C0"/>
    <w:rsid w:val="0053116F"/>
    <w:rsid w:val="00531D26"/>
    <w:rsid w:val="00532F39"/>
    <w:rsid w:val="00534031"/>
    <w:rsid w:val="00534521"/>
    <w:rsid w:val="005377DD"/>
    <w:rsid w:val="005409CA"/>
    <w:rsid w:val="005417CF"/>
    <w:rsid w:val="005427E7"/>
    <w:rsid w:val="005428A5"/>
    <w:rsid w:val="00544037"/>
    <w:rsid w:val="00550C54"/>
    <w:rsid w:val="00552C04"/>
    <w:rsid w:val="0055337D"/>
    <w:rsid w:val="00553621"/>
    <w:rsid w:val="00554379"/>
    <w:rsid w:val="0055599E"/>
    <w:rsid w:val="00555ADA"/>
    <w:rsid w:val="00555FAA"/>
    <w:rsid w:val="00556624"/>
    <w:rsid w:val="00557110"/>
    <w:rsid w:val="00561612"/>
    <w:rsid w:val="0056708C"/>
    <w:rsid w:val="00567759"/>
    <w:rsid w:val="0057101D"/>
    <w:rsid w:val="00572D32"/>
    <w:rsid w:val="0057454B"/>
    <w:rsid w:val="00575251"/>
    <w:rsid w:val="005757AA"/>
    <w:rsid w:val="00577973"/>
    <w:rsid w:val="00577D52"/>
    <w:rsid w:val="005802E6"/>
    <w:rsid w:val="00580E81"/>
    <w:rsid w:val="00581029"/>
    <w:rsid w:val="005812E9"/>
    <w:rsid w:val="00584248"/>
    <w:rsid w:val="005874D0"/>
    <w:rsid w:val="005911F0"/>
    <w:rsid w:val="00594E90"/>
    <w:rsid w:val="00596941"/>
    <w:rsid w:val="00596C83"/>
    <w:rsid w:val="005973A9"/>
    <w:rsid w:val="005A10A2"/>
    <w:rsid w:val="005A2466"/>
    <w:rsid w:val="005A30C3"/>
    <w:rsid w:val="005A379A"/>
    <w:rsid w:val="005A393E"/>
    <w:rsid w:val="005A449C"/>
    <w:rsid w:val="005A6FA8"/>
    <w:rsid w:val="005A7234"/>
    <w:rsid w:val="005B1064"/>
    <w:rsid w:val="005B6DAD"/>
    <w:rsid w:val="005C05C6"/>
    <w:rsid w:val="005C0E9C"/>
    <w:rsid w:val="005C1C52"/>
    <w:rsid w:val="005C517F"/>
    <w:rsid w:val="005C6175"/>
    <w:rsid w:val="005C65A5"/>
    <w:rsid w:val="005C73DC"/>
    <w:rsid w:val="005D116C"/>
    <w:rsid w:val="005D1301"/>
    <w:rsid w:val="005D16AA"/>
    <w:rsid w:val="005D1AB4"/>
    <w:rsid w:val="005D2884"/>
    <w:rsid w:val="005D361B"/>
    <w:rsid w:val="005D6F65"/>
    <w:rsid w:val="005D7691"/>
    <w:rsid w:val="005E1148"/>
    <w:rsid w:val="005E2966"/>
    <w:rsid w:val="005E4002"/>
    <w:rsid w:val="005E4980"/>
    <w:rsid w:val="005E53A3"/>
    <w:rsid w:val="005E66DE"/>
    <w:rsid w:val="005E69B1"/>
    <w:rsid w:val="005F16CD"/>
    <w:rsid w:val="005F2274"/>
    <w:rsid w:val="005F4B04"/>
    <w:rsid w:val="005F55BF"/>
    <w:rsid w:val="005F6EEE"/>
    <w:rsid w:val="00602385"/>
    <w:rsid w:val="00606025"/>
    <w:rsid w:val="00606F92"/>
    <w:rsid w:val="006074CD"/>
    <w:rsid w:val="00607F9A"/>
    <w:rsid w:val="006104F3"/>
    <w:rsid w:val="0061172B"/>
    <w:rsid w:val="0061265A"/>
    <w:rsid w:val="00613534"/>
    <w:rsid w:val="006145E6"/>
    <w:rsid w:val="00620544"/>
    <w:rsid w:val="006228CF"/>
    <w:rsid w:val="00623D5D"/>
    <w:rsid w:val="00626B22"/>
    <w:rsid w:val="00627928"/>
    <w:rsid w:val="00627F03"/>
    <w:rsid w:val="00627FDC"/>
    <w:rsid w:val="00630104"/>
    <w:rsid w:val="00630ACF"/>
    <w:rsid w:val="00633023"/>
    <w:rsid w:val="00635FDC"/>
    <w:rsid w:val="006366B7"/>
    <w:rsid w:val="00637171"/>
    <w:rsid w:val="006422E2"/>
    <w:rsid w:val="00642F43"/>
    <w:rsid w:val="0064324D"/>
    <w:rsid w:val="00644250"/>
    <w:rsid w:val="0064566C"/>
    <w:rsid w:val="0065183D"/>
    <w:rsid w:val="00653F5F"/>
    <w:rsid w:val="00654CF4"/>
    <w:rsid w:val="00655726"/>
    <w:rsid w:val="006563A3"/>
    <w:rsid w:val="0065705B"/>
    <w:rsid w:val="00660059"/>
    <w:rsid w:val="0066066A"/>
    <w:rsid w:val="0066106C"/>
    <w:rsid w:val="006611E2"/>
    <w:rsid w:val="006625B7"/>
    <w:rsid w:val="00664D9C"/>
    <w:rsid w:val="00666145"/>
    <w:rsid w:val="00666B78"/>
    <w:rsid w:val="006675AE"/>
    <w:rsid w:val="00667C85"/>
    <w:rsid w:val="0067036E"/>
    <w:rsid w:val="006717D6"/>
    <w:rsid w:val="00673222"/>
    <w:rsid w:val="0067499C"/>
    <w:rsid w:val="00674B87"/>
    <w:rsid w:val="0067572A"/>
    <w:rsid w:val="00681866"/>
    <w:rsid w:val="00682A38"/>
    <w:rsid w:val="0068327F"/>
    <w:rsid w:val="00685439"/>
    <w:rsid w:val="00685DEF"/>
    <w:rsid w:val="0068726C"/>
    <w:rsid w:val="006919C5"/>
    <w:rsid w:val="00694431"/>
    <w:rsid w:val="00694AD4"/>
    <w:rsid w:val="00697B35"/>
    <w:rsid w:val="00697D7F"/>
    <w:rsid w:val="006A00AE"/>
    <w:rsid w:val="006A5B8A"/>
    <w:rsid w:val="006A65CC"/>
    <w:rsid w:val="006A7357"/>
    <w:rsid w:val="006A7C62"/>
    <w:rsid w:val="006B1C52"/>
    <w:rsid w:val="006C0C05"/>
    <w:rsid w:val="006C3203"/>
    <w:rsid w:val="006C5C1A"/>
    <w:rsid w:val="006C6D03"/>
    <w:rsid w:val="006D3256"/>
    <w:rsid w:val="006D3448"/>
    <w:rsid w:val="006D3B18"/>
    <w:rsid w:val="006D47CA"/>
    <w:rsid w:val="006D5811"/>
    <w:rsid w:val="006D6982"/>
    <w:rsid w:val="006D6E49"/>
    <w:rsid w:val="006E1785"/>
    <w:rsid w:val="006E19D0"/>
    <w:rsid w:val="006E265D"/>
    <w:rsid w:val="006E4226"/>
    <w:rsid w:val="006F23A3"/>
    <w:rsid w:val="006F39C3"/>
    <w:rsid w:val="006F5DDD"/>
    <w:rsid w:val="00702536"/>
    <w:rsid w:val="0070310D"/>
    <w:rsid w:val="00706C88"/>
    <w:rsid w:val="00706D7E"/>
    <w:rsid w:val="007072C6"/>
    <w:rsid w:val="00707F3B"/>
    <w:rsid w:val="00711A91"/>
    <w:rsid w:val="00712EDE"/>
    <w:rsid w:val="00713FE8"/>
    <w:rsid w:val="00715537"/>
    <w:rsid w:val="00716AEA"/>
    <w:rsid w:val="00722F71"/>
    <w:rsid w:val="007235E7"/>
    <w:rsid w:val="007252BB"/>
    <w:rsid w:val="00730670"/>
    <w:rsid w:val="0073074F"/>
    <w:rsid w:val="007329A1"/>
    <w:rsid w:val="007344AB"/>
    <w:rsid w:val="0073516F"/>
    <w:rsid w:val="0073644C"/>
    <w:rsid w:val="007368AF"/>
    <w:rsid w:val="007400DB"/>
    <w:rsid w:val="00741A35"/>
    <w:rsid w:val="007430FE"/>
    <w:rsid w:val="00744DAF"/>
    <w:rsid w:val="00745D6C"/>
    <w:rsid w:val="00746173"/>
    <w:rsid w:val="00746831"/>
    <w:rsid w:val="0074768D"/>
    <w:rsid w:val="00752E2C"/>
    <w:rsid w:val="00754EB9"/>
    <w:rsid w:val="00756652"/>
    <w:rsid w:val="00756991"/>
    <w:rsid w:val="00757EA6"/>
    <w:rsid w:val="0076314D"/>
    <w:rsid w:val="007632DF"/>
    <w:rsid w:val="00771046"/>
    <w:rsid w:val="00771E49"/>
    <w:rsid w:val="00772385"/>
    <w:rsid w:val="007730E5"/>
    <w:rsid w:val="00774475"/>
    <w:rsid w:val="0077499E"/>
    <w:rsid w:val="007758E7"/>
    <w:rsid w:val="007759A8"/>
    <w:rsid w:val="00780BA2"/>
    <w:rsid w:val="0078154C"/>
    <w:rsid w:val="00782C16"/>
    <w:rsid w:val="007908EB"/>
    <w:rsid w:val="0079268A"/>
    <w:rsid w:val="00792BF7"/>
    <w:rsid w:val="00792DFC"/>
    <w:rsid w:val="00794F83"/>
    <w:rsid w:val="00795AC0"/>
    <w:rsid w:val="00796738"/>
    <w:rsid w:val="007974FF"/>
    <w:rsid w:val="0079774A"/>
    <w:rsid w:val="007A0CAC"/>
    <w:rsid w:val="007A4B4D"/>
    <w:rsid w:val="007A4BBE"/>
    <w:rsid w:val="007A6826"/>
    <w:rsid w:val="007A695F"/>
    <w:rsid w:val="007A7039"/>
    <w:rsid w:val="007B30FA"/>
    <w:rsid w:val="007B3D05"/>
    <w:rsid w:val="007B4493"/>
    <w:rsid w:val="007B4718"/>
    <w:rsid w:val="007B6339"/>
    <w:rsid w:val="007B6391"/>
    <w:rsid w:val="007B7104"/>
    <w:rsid w:val="007C06DB"/>
    <w:rsid w:val="007C1006"/>
    <w:rsid w:val="007C1230"/>
    <w:rsid w:val="007C4824"/>
    <w:rsid w:val="007C6A6D"/>
    <w:rsid w:val="007C7258"/>
    <w:rsid w:val="007D1AF6"/>
    <w:rsid w:val="007D22B9"/>
    <w:rsid w:val="007D2B3E"/>
    <w:rsid w:val="007D44EE"/>
    <w:rsid w:val="007D578C"/>
    <w:rsid w:val="007D5E2A"/>
    <w:rsid w:val="007D5EAB"/>
    <w:rsid w:val="007E0505"/>
    <w:rsid w:val="007E06F5"/>
    <w:rsid w:val="007E0BC0"/>
    <w:rsid w:val="007E24CD"/>
    <w:rsid w:val="007E2AE0"/>
    <w:rsid w:val="007E3F26"/>
    <w:rsid w:val="007E6CAD"/>
    <w:rsid w:val="007F0B90"/>
    <w:rsid w:val="007F2E8F"/>
    <w:rsid w:val="007F3232"/>
    <w:rsid w:val="007F4804"/>
    <w:rsid w:val="007F5CBD"/>
    <w:rsid w:val="007F5E4D"/>
    <w:rsid w:val="007F6595"/>
    <w:rsid w:val="0080067C"/>
    <w:rsid w:val="00801B25"/>
    <w:rsid w:val="008067F3"/>
    <w:rsid w:val="008072E5"/>
    <w:rsid w:val="00810BA9"/>
    <w:rsid w:val="008112AF"/>
    <w:rsid w:val="008120AD"/>
    <w:rsid w:val="0081270E"/>
    <w:rsid w:val="0081381F"/>
    <w:rsid w:val="00817382"/>
    <w:rsid w:val="008245E3"/>
    <w:rsid w:val="00826A6E"/>
    <w:rsid w:val="00832007"/>
    <w:rsid w:val="00832380"/>
    <w:rsid w:val="0083431B"/>
    <w:rsid w:val="008343A4"/>
    <w:rsid w:val="00835416"/>
    <w:rsid w:val="008354DF"/>
    <w:rsid w:val="0083611A"/>
    <w:rsid w:val="00837634"/>
    <w:rsid w:val="00843B36"/>
    <w:rsid w:val="008451AF"/>
    <w:rsid w:val="00845B5C"/>
    <w:rsid w:val="00846383"/>
    <w:rsid w:val="00846EB1"/>
    <w:rsid w:val="008570EA"/>
    <w:rsid w:val="008613AF"/>
    <w:rsid w:val="008630DB"/>
    <w:rsid w:val="00867BF0"/>
    <w:rsid w:val="008705C7"/>
    <w:rsid w:val="00870AD9"/>
    <w:rsid w:val="00870E11"/>
    <w:rsid w:val="008713C7"/>
    <w:rsid w:val="00871C00"/>
    <w:rsid w:val="0087229E"/>
    <w:rsid w:val="00873FCE"/>
    <w:rsid w:val="0087637F"/>
    <w:rsid w:val="008810EF"/>
    <w:rsid w:val="00883391"/>
    <w:rsid w:val="008871EE"/>
    <w:rsid w:val="00887326"/>
    <w:rsid w:val="00891515"/>
    <w:rsid w:val="00891BD7"/>
    <w:rsid w:val="008937AD"/>
    <w:rsid w:val="008A1352"/>
    <w:rsid w:val="008A1C64"/>
    <w:rsid w:val="008A3175"/>
    <w:rsid w:val="008A3EB4"/>
    <w:rsid w:val="008A5A4D"/>
    <w:rsid w:val="008A65D3"/>
    <w:rsid w:val="008B0FB2"/>
    <w:rsid w:val="008B1BBB"/>
    <w:rsid w:val="008B29A5"/>
    <w:rsid w:val="008B3C14"/>
    <w:rsid w:val="008B5AD4"/>
    <w:rsid w:val="008B5D1C"/>
    <w:rsid w:val="008B6CF9"/>
    <w:rsid w:val="008C1956"/>
    <w:rsid w:val="008C3390"/>
    <w:rsid w:val="008C6EDA"/>
    <w:rsid w:val="008D02C8"/>
    <w:rsid w:val="008D0625"/>
    <w:rsid w:val="008D2D2A"/>
    <w:rsid w:val="008D318C"/>
    <w:rsid w:val="008D35B5"/>
    <w:rsid w:val="008D4094"/>
    <w:rsid w:val="008E2C1F"/>
    <w:rsid w:val="008E49E8"/>
    <w:rsid w:val="008E4ACA"/>
    <w:rsid w:val="008E4DA0"/>
    <w:rsid w:val="008E7415"/>
    <w:rsid w:val="008F0EFF"/>
    <w:rsid w:val="008F29A3"/>
    <w:rsid w:val="008F3FF6"/>
    <w:rsid w:val="008F5BE9"/>
    <w:rsid w:val="008F77B6"/>
    <w:rsid w:val="0090037F"/>
    <w:rsid w:val="00901430"/>
    <w:rsid w:val="00901FA2"/>
    <w:rsid w:val="00907074"/>
    <w:rsid w:val="00907E2F"/>
    <w:rsid w:val="009115AE"/>
    <w:rsid w:val="00911F49"/>
    <w:rsid w:val="00912CFD"/>
    <w:rsid w:val="00913CB7"/>
    <w:rsid w:val="009140BA"/>
    <w:rsid w:val="00914712"/>
    <w:rsid w:val="0091505A"/>
    <w:rsid w:val="009158BA"/>
    <w:rsid w:val="009222B5"/>
    <w:rsid w:val="00922872"/>
    <w:rsid w:val="00924A23"/>
    <w:rsid w:val="009260BB"/>
    <w:rsid w:val="009307D0"/>
    <w:rsid w:val="00932B7B"/>
    <w:rsid w:val="00934492"/>
    <w:rsid w:val="00940BA0"/>
    <w:rsid w:val="009452AD"/>
    <w:rsid w:val="00945C7A"/>
    <w:rsid w:val="00947240"/>
    <w:rsid w:val="0095052A"/>
    <w:rsid w:val="00952644"/>
    <w:rsid w:val="00953E29"/>
    <w:rsid w:val="00955477"/>
    <w:rsid w:val="00957AE8"/>
    <w:rsid w:val="0096459A"/>
    <w:rsid w:val="00965760"/>
    <w:rsid w:val="009706D3"/>
    <w:rsid w:val="00970929"/>
    <w:rsid w:val="00972DB1"/>
    <w:rsid w:val="009730EB"/>
    <w:rsid w:val="00977556"/>
    <w:rsid w:val="0098325D"/>
    <w:rsid w:val="009854D1"/>
    <w:rsid w:val="009876AF"/>
    <w:rsid w:val="009877C1"/>
    <w:rsid w:val="00990BE2"/>
    <w:rsid w:val="00991627"/>
    <w:rsid w:val="00992A4A"/>
    <w:rsid w:val="00992DA1"/>
    <w:rsid w:val="0099659D"/>
    <w:rsid w:val="00996845"/>
    <w:rsid w:val="00997BEC"/>
    <w:rsid w:val="009A1125"/>
    <w:rsid w:val="009A1694"/>
    <w:rsid w:val="009A24E2"/>
    <w:rsid w:val="009A4A55"/>
    <w:rsid w:val="009A4D95"/>
    <w:rsid w:val="009B2B07"/>
    <w:rsid w:val="009B2EFF"/>
    <w:rsid w:val="009B3B68"/>
    <w:rsid w:val="009B441B"/>
    <w:rsid w:val="009B4D70"/>
    <w:rsid w:val="009B4ECD"/>
    <w:rsid w:val="009B621F"/>
    <w:rsid w:val="009B7849"/>
    <w:rsid w:val="009C00EE"/>
    <w:rsid w:val="009C45E8"/>
    <w:rsid w:val="009C5211"/>
    <w:rsid w:val="009C53B0"/>
    <w:rsid w:val="009C7555"/>
    <w:rsid w:val="009D2240"/>
    <w:rsid w:val="009D5C57"/>
    <w:rsid w:val="009D7A33"/>
    <w:rsid w:val="009D7FE3"/>
    <w:rsid w:val="009E0142"/>
    <w:rsid w:val="009E175E"/>
    <w:rsid w:val="009E1895"/>
    <w:rsid w:val="009E228E"/>
    <w:rsid w:val="009E3C18"/>
    <w:rsid w:val="009E3D44"/>
    <w:rsid w:val="009E454E"/>
    <w:rsid w:val="009E4660"/>
    <w:rsid w:val="009E59CD"/>
    <w:rsid w:val="009E7A86"/>
    <w:rsid w:val="009F33F5"/>
    <w:rsid w:val="009F588A"/>
    <w:rsid w:val="009F58AA"/>
    <w:rsid w:val="009F5A16"/>
    <w:rsid w:val="009F69BE"/>
    <w:rsid w:val="009F7B63"/>
    <w:rsid w:val="00A0016B"/>
    <w:rsid w:val="00A02567"/>
    <w:rsid w:val="00A02656"/>
    <w:rsid w:val="00A03CA3"/>
    <w:rsid w:val="00A03EF1"/>
    <w:rsid w:val="00A043D9"/>
    <w:rsid w:val="00A04A6A"/>
    <w:rsid w:val="00A052C3"/>
    <w:rsid w:val="00A06F1B"/>
    <w:rsid w:val="00A12C4F"/>
    <w:rsid w:val="00A12D82"/>
    <w:rsid w:val="00A13905"/>
    <w:rsid w:val="00A13A9E"/>
    <w:rsid w:val="00A15ADB"/>
    <w:rsid w:val="00A16617"/>
    <w:rsid w:val="00A2224E"/>
    <w:rsid w:val="00A24CCB"/>
    <w:rsid w:val="00A30173"/>
    <w:rsid w:val="00A31B96"/>
    <w:rsid w:val="00A324A8"/>
    <w:rsid w:val="00A33217"/>
    <w:rsid w:val="00A3383E"/>
    <w:rsid w:val="00A3470F"/>
    <w:rsid w:val="00A34FB0"/>
    <w:rsid w:val="00A34FC3"/>
    <w:rsid w:val="00A40EAB"/>
    <w:rsid w:val="00A421E1"/>
    <w:rsid w:val="00A43F5E"/>
    <w:rsid w:val="00A444A9"/>
    <w:rsid w:val="00A44B63"/>
    <w:rsid w:val="00A44C77"/>
    <w:rsid w:val="00A45B29"/>
    <w:rsid w:val="00A46DF7"/>
    <w:rsid w:val="00A50073"/>
    <w:rsid w:val="00A50FD6"/>
    <w:rsid w:val="00A51053"/>
    <w:rsid w:val="00A5142F"/>
    <w:rsid w:val="00A52B44"/>
    <w:rsid w:val="00A536E4"/>
    <w:rsid w:val="00A54CC3"/>
    <w:rsid w:val="00A564D7"/>
    <w:rsid w:val="00A575B8"/>
    <w:rsid w:val="00A617D8"/>
    <w:rsid w:val="00A62804"/>
    <w:rsid w:val="00A65203"/>
    <w:rsid w:val="00A65608"/>
    <w:rsid w:val="00A66806"/>
    <w:rsid w:val="00A66841"/>
    <w:rsid w:val="00A66A77"/>
    <w:rsid w:val="00A704D6"/>
    <w:rsid w:val="00A707CF"/>
    <w:rsid w:val="00A70907"/>
    <w:rsid w:val="00A71F0C"/>
    <w:rsid w:val="00A724CC"/>
    <w:rsid w:val="00A7284F"/>
    <w:rsid w:val="00A72CE7"/>
    <w:rsid w:val="00A73322"/>
    <w:rsid w:val="00A737E9"/>
    <w:rsid w:val="00A73AC4"/>
    <w:rsid w:val="00A75E4B"/>
    <w:rsid w:val="00A77C5B"/>
    <w:rsid w:val="00A801E3"/>
    <w:rsid w:val="00A80B5C"/>
    <w:rsid w:val="00A8523F"/>
    <w:rsid w:val="00A8608E"/>
    <w:rsid w:val="00A9112C"/>
    <w:rsid w:val="00A926AC"/>
    <w:rsid w:val="00A93FEA"/>
    <w:rsid w:val="00A94B74"/>
    <w:rsid w:val="00A9588A"/>
    <w:rsid w:val="00A9652F"/>
    <w:rsid w:val="00A9683E"/>
    <w:rsid w:val="00AA0E8D"/>
    <w:rsid w:val="00AA54E4"/>
    <w:rsid w:val="00AA569C"/>
    <w:rsid w:val="00AA6FE5"/>
    <w:rsid w:val="00AA72AF"/>
    <w:rsid w:val="00AB0645"/>
    <w:rsid w:val="00AB2C52"/>
    <w:rsid w:val="00AB2DD0"/>
    <w:rsid w:val="00AB31B5"/>
    <w:rsid w:val="00AB43C3"/>
    <w:rsid w:val="00AB7B6B"/>
    <w:rsid w:val="00AC09EF"/>
    <w:rsid w:val="00AC12F0"/>
    <w:rsid w:val="00AC192F"/>
    <w:rsid w:val="00AC1C37"/>
    <w:rsid w:val="00AC1E7F"/>
    <w:rsid w:val="00AC1F38"/>
    <w:rsid w:val="00AC2384"/>
    <w:rsid w:val="00AC4A7B"/>
    <w:rsid w:val="00AC76C9"/>
    <w:rsid w:val="00AD2C77"/>
    <w:rsid w:val="00AD4C57"/>
    <w:rsid w:val="00AD638D"/>
    <w:rsid w:val="00AD688C"/>
    <w:rsid w:val="00AD7EFD"/>
    <w:rsid w:val="00AE022A"/>
    <w:rsid w:val="00AE050E"/>
    <w:rsid w:val="00AE0693"/>
    <w:rsid w:val="00AE42B5"/>
    <w:rsid w:val="00AE4F1B"/>
    <w:rsid w:val="00AE534F"/>
    <w:rsid w:val="00AE65AB"/>
    <w:rsid w:val="00AF164E"/>
    <w:rsid w:val="00AF18B6"/>
    <w:rsid w:val="00AF1A23"/>
    <w:rsid w:val="00AF3005"/>
    <w:rsid w:val="00AF5719"/>
    <w:rsid w:val="00AF7201"/>
    <w:rsid w:val="00AF7B0C"/>
    <w:rsid w:val="00B00690"/>
    <w:rsid w:val="00B01A53"/>
    <w:rsid w:val="00B02981"/>
    <w:rsid w:val="00B03168"/>
    <w:rsid w:val="00B06621"/>
    <w:rsid w:val="00B06EB5"/>
    <w:rsid w:val="00B077CD"/>
    <w:rsid w:val="00B10C39"/>
    <w:rsid w:val="00B1342F"/>
    <w:rsid w:val="00B13C3D"/>
    <w:rsid w:val="00B14A2F"/>
    <w:rsid w:val="00B14A85"/>
    <w:rsid w:val="00B15107"/>
    <w:rsid w:val="00B16623"/>
    <w:rsid w:val="00B236A5"/>
    <w:rsid w:val="00B23DE4"/>
    <w:rsid w:val="00B24935"/>
    <w:rsid w:val="00B312E2"/>
    <w:rsid w:val="00B321A8"/>
    <w:rsid w:val="00B33D73"/>
    <w:rsid w:val="00B356B7"/>
    <w:rsid w:val="00B36A11"/>
    <w:rsid w:val="00B40529"/>
    <w:rsid w:val="00B4593C"/>
    <w:rsid w:val="00B45CE1"/>
    <w:rsid w:val="00B4630A"/>
    <w:rsid w:val="00B47615"/>
    <w:rsid w:val="00B47929"/>
    <w:rsid w:val="00B47D80"/>
    <w:rsid w:val="00B52928"/>
    <w:rsid w:val="00B55D04"/>
    <w:rsid w:val="00B55E13"/>
    <w:rsid w:val="00B56EB7"/>
    <w:rsid w:val="00B60DB4"/>
    <w:rsid w:val="00B61BFC"/>
    <w:rsid w:val="00B6255E"/>
    <w:rsid w:val="00B62EAB"/>
    <w:rsid w:val="00B63649"/>
    <w:rsid w:val="00B654E1"/>
    <w:rsid w:val="00B65919"/>
    <w:rsid w:val="00B66A55"/>
    <w:rsid w:val="00B6731E"/>
    <w:rsid w:val="00B6775E"/>
    <w:rsid w:val="00B70504"/>
    <w:rsid w:val="00B7122B"/>
    <w:rsid w:val="00B726F1"/>
    <w:rsid w:val="00B76E52"/>
    <w:rsid w:val="00B772CF"/>
    <w:rsid w:val="00B7735F"/>
    <w:rsid w:val="00B822CA"/>
    <w:rsid w:val="00B84885"/>
    <w:rsid w:val="00B85F9E"/>
    <w:rsid w:val="00B868F9"/>
    <w:rsid w:val="00B87832"/>
    <w:rsid w:val="00B910D9"/>
    <w:rsid w:val="00B913CF"/>
    <w:rsid w:val="00B92682"/>
    <w:rsid w:val="00B95294"/>
    <w:rsid w:val="00B9603F"/>
    <w:rsid w:val="00B961D9"/>
    <w:rsid w:val="00B962D7"/>
    <w:rsid w:val="00B97876"/>
    <w:rsid w:val="00BA0BA7"/>
    <w:rsid w:val="00BA3DC5"/>
    <w:rsid w:val="00BA4033"/>
    <w:rsid w:val="00BA532E"/>
    <w:rsid w:val="00BA68A3"/>
    <w:rsid w:val="00BA6D1F"/>
    <w:rsid w:val="00BB2646"/>
    <w:rsid w:val="00BB75B9"/>
    <w:rsid w:val="00BC1487"/>
    <w:rsid w:val="00BC1991"/>
    <w:rsid w:val="00BC369A"/>
    <w:rsid w:val="00BC3D2E"/>
    <w:rsid w:val="00BC481E"/>
    <w:rsid w:val="00BC4EA3"/>
    <w:rsid w:val="00BC6EA0"/>
    <w:rsid w:val="00BD02B3"/>
    <w:rsid w:val="00BD23C2"/>
    <w:rsid w:val="00BD2641"/>
    <w:rsid w:val="00BD3B73"/>
    <w:rsid w:val="00BD4B8B"/>
    <w:rsid w:val="00BD5761"/>
    <w:rsid w:val="00BD5AAA"/>
    <w:rsid w:val="00BD722D"/>
    <w:rsid w:val="00BE038B"/>
    <w:rsid w:val="00BE12DE"/>
    <w:rsid w:val="00BE3CB4"/>
    <w:rsid w:val="00BE5709"/>
    <w:rsid w:val="00BE5A49"/>
    <w:rsid w:val="00BF3ACC"/>
    <w:rsid w:val="00BF4E58"/>
    <w:rsid w:val="00BF5A0D"/>
    <w:rsid w:val="00BF65FF"/>
    <w:rsid w:val="00BF72DA"/>
    <w:rsid w:val="00C0046F"/>
    <w:rsid w:val="00C008F0"/>
    <w:rsid w:val="00C00D4E"/>
    <w:rsid w:val="00C00F56"/>
    <w:rsid w:val="00C03DD3"/>
    <w:rsid w:val="00C03EF4"/>
    <w:rsid w:val="00C0540A"/>
    <w:rsid w:val="00C05941"/>
    <w:rsid w:val="00C05FA7"/>
    <w:rsid w:val="00C06126"/>
    <w:rsid w:val="00C06ABE"/>
    <w:rsid w:val="00C07D9F"/>
    <w:rsid w:val="00C1230D"/>
    <w:rsid w:val="00C12EB9"/>
    <w:rsid w:val="00C17694"/>
    <w:rsid w:val="00C17752"/>
    <w:rsid w:val="00C2062D"/>
    <w:rsid w:val="00C212F9"/>
    <w:rsid w:val="00C23F82"/>
    <w:rsid w:val="00C24C7D"/>
    <w:rsid w:val="00C26F3E"/>
    <w:rsid w:val="00C27A45"/>
    <w:rsid w:val="00C32334"/>
    <w:rsid w:val="00C32A60"/>
    <w:rsid w:val="00C34760"/>
    <w:rsid w:val="00C360C6"/>
    <w:rsid w:val="00C42F42"/>
    <w:rsid w:val="00C43267"/>
    <w:rsid w:val="00C4362B"/>
    <w:rsid w:val="00C4407D"/>
    <w:rsid w:val="00C476BA"/>
    <w:rsid w:val="00C51546"/>
    <w:rsid w:val="00C52160"/>
    <w:rsid w:val="00C5627C"/>
    <w:rsid w:val="00C60811"/>
    <w:rsid w:val="00C627C4"/>
    <w:rsid w:val="00C628FE"/>
    <w:rsid w:val="00C640E7"/>
    <w:rsid w:val="00C73BB3"/>
    <w:rsid w:val="00C75EAC"/>
    <w:rsid w:val="00C76865"/>
    <w:rsid w:val="00C8133E"/>
    <w:rsid w:val="00C83FE2"/>
    <w:rsid w:val="00C873D4"/>
    <w:rsid w:val="00C87B35"/>
    <w:rsid w:val="00C92EF3"/>
    <w:rsid w:val="00C93314"/>
    <w:rsid w:val="00C944A0"/>
    <w:rsid w:val="00C949AE"/>
    <w:rsid w:val="00C95B0D"/>
    <w:rsid w:val="00C97896"/>
    <w:rsid w:val="00CA121C"/>
    <w:rsid w:val="00CA239B"/>
    <w:rsid w:val="00CA5FFC"/>
    <w:rsid w:val="00CB0647"/>
    <w:rsid w:val="00CB156E"/>
    <w:rsid w:val="00CB1F4D"/>
    <w:rsid w:val="00CB3770"/>
    <w:rsid w:val="00CB45F6"/>
    <w:rsid w:val="00CB5DBB"/>
    <w:rsid w:val="00CB5EEB"/>
    <w:rsid w:val="00CB7034"/>
    <w:rsid w:val="00CC06D5"/>
    <w:rsid w:val="00CC31CD"/>
    <w:rsid w:val="00CC31D5"/>
    <w:rsid w:val="00CC3463"/>
    <w:rsid w:val="00CC5423"/>
    <w:rsid w:val="00CC57C8"/>
    <w:rsid w:val="00CC5970"/>
    <w:rsid w:val="00CC69D3"/>
    <w:rsid w:val="00CD0D60"/>
    <w:rsid w:val="00CD34D2"/>
    <w:rsid w:val="00CD387B"/>
    <w:rsid w:val="00CD4DA6"/>
    <w:rsid w:val="00CD725F"/>
    <w:rsid w:val="00CE00F9"/>
    <w:rsid w:val="00CE073E"/>
    <w:rsid w:val="00CE08DB"/>
    <w:rsid w:val="00CE2071"/>
    <w:rsid w:val="00CE23D2"/>
    <w:rsid w:val="00CE3981"/>
    <w:rsid w:val="00CE3BEC"/>
    <w:rsid w:val="00CE4049"/>
    <w:rsid w:val="00CF1001"/>
    <w:rsid w:val="00CF1E37"/>
    <w:rsid w:val="00CF26A7"/>
    <w:rsid w:val="00CF2E76"/>
    <w:rsid w:val="00CF3C53"/>
    <w:rsid w:val="00CF4895"/>
    <w:rsid w:val="00CF7002"/>
    <w:rsid w:val="00D00FC8"/>
    <w:rsid w:val="00D013F5"/>
    <w:rsid w:val="00D02484"/>
    <w:rsid w:val="00D02A0E"/>
    <w:rsid w:val="00D0344C"/>
    <w:rsid w:val="00D0352D"/>
    <w:rsid w:val="00D0531F"/>
    <w:rsid w:val="00D068DF"/>
    <w:rsid w:val="00D07E86"/>
    <w:rsid w:val="00D11341"/>
    <w:rsid w:val="00D14561"/>
    <w:rsid w:val="00D162E3"/>
    <w:rsid w:val="00D17E44"/>
    <w:rsid w:val="00D219EB"/>
    <w:rsid w:val="00D25B99"/>
    <w:rsid w:val="00D3384A"/>
    <w:rsid w:val="00D35586"/>
    <w:rsid w:val="00D357FF"/>
    <w:rsid w:val="00D36F70"/>
    <w:rsid w:val="00D3720D"/>
    <w:rsid w:val="00D37861"/>
    <w:rsid w:val="00D378F1"/>
    <w:rsid w:val="00D41EF8"/>
    <w:rsid w:val="00D42FBE"/>
    <w:rsid w:val="00D503CE"/>
    <w:rsid w:val="00D503FD"/>
    <w:rsid w:val="00D51B45"/>
    <w:rsid w:val="00D51F78"/>
    <w:rsid w:val="00D526BD"/>
    <w:rsid w:val="00D54960"/>
    <w:rsid w:val="00D5785B"/>
    <w:rsid w:val="00D5792E"/>
    <w:rsid w:val="00D60442"/>
    <w:rsid w:val="00D63067"/>
    <w:rsid w:val="00D634BA"/>
    <w:rsid w:val="00D64153"/>
    <w:rsid w:val="00D6646B"/>
    <w:rsid w:val="00D731F5"/>
    <w:rsid w:val="00D738C7"/>
    <w:rsid w:val="00D81047"/>
    <w:rsid w:val="00D82691"/>
    <w:rsid w:val="00D82AAD"/>
    <w:rsid w:val="00D83FED"/>
    <w:rsid w:val="00D84939"/>
    <w:rsid w:val="00D856CE"/>
    <w:rsid w:val="00D8579E"/>
    <w:rsid w:val="00D85EE3"/>
    <w:rsid w:val="00D86515"/>
    <w:rsid w:val="00D87F4D"/>
    <w:rsid w:val="00D92D8A"/>
    <w:rsid w:val="00D93775"/>
    <w:rsid w:val="00D93A2B"/>
    <w:rsid w:val="00D94CC3"/>
    <w:rsid w:val="00D960B2"/>
    <w:rsid w:val="00D9794F"/>
    <w:rsid w:val="00DA1853"/>
    <w:rsid w:val="00DA4E20"/>
    <w:rsid w:val="00DB000E"/>
    <w:rsid w:val="00DB0E84"/>
    <w:rsid w:val="00DB0E92"/>
    <w:rsid w:val="00DB180C"/>
    <w:rsid w:val="00DB1AA8"/>
    <w:rsid w:val="00DB24D6"/>
    <w:rsid w:val="00DB365E"/>
    <w:rsid w:val="00DB6879"/>
    <w:rsid w:val="00DB6EB4"/>
    <w:rsid w:val="00DB6F37"/>
    <w:rsid w:val="00DB7B4E"/>
    <w:rsid w:val="00DC091B"/>
    <w:rsid w:val="00DC170D"/>
    <w:rsid w:val="00DC1E68"/>
    <w:rsid w:val="00DC2D03"/>
    <w:rsid w:val="00DC3BAC"/>
    <w:rsid w:val="00DC5821"/>
    <w:rsid w:val="00DC6EDB"/>
    <w:rsid w:val="00DC7838"/>
    <w:rsid w:val="00DD04FA"/>
    <w:rsid w:val="00DD5FB2"/>
    <w:rsid w:val="00DD6D71"/>
    <w:rsid w:val="00DE115F"/>
    <w:rsid w:val="00DE18A7"/>
    <w:rsid w:val="00DE368C"/>
    <w:rsid w:val="00DE451A"/>
    <w:rsid w:val="00DE4687"/>
    <w:rsid w:val="00DE534A"/>
    <w:rsid w:val="00DE6F2C"/>
    <w:rsid w:val="00DF0A2C"/>
    <w:rsid w:val="00DF0AC8"/>
    <w:rsid w:val="00DF180B"/>
    <w:rsid w:val="00DF26E3"/>
    <w:rsid w:val="00DF30DB"/>
    <w:rsid w:val="00DF7F94"/>
    <w:rsid w:val="00E000B9"/>
    <w:rsid w:val="00E051D7"/>
    <w:rsid w:val="00E058AE"/>
    <w:rsid w:val="00E05D84"/>
    <w:rsid w:val="00E07130"/>
    <w:rsid w:val="00E110F2"/>
    <w:rsid w:val="00E12D81"/>
    <w:rsid w:val="00E12E6A"/>
    <w:rsid w:val="00E13B73"/>
    <w:rsid w:val="00E14047"/>
    <w:rsid w:val="00E16B26"/>
    <w:rsid w:val="00E17332"/>
    <w:rsid w:val="00E21342"/>
    <w:rsid w:val="00E218E0"/>
    <w:rsid w:val="00E255C7"/>
    <w:rsid w:val="00E26CEC"/>
    <w:rsid w:val="00E3188C"/>
    <w:rsid w:val="00E33631"/>
    <w:rsid w:val="00E34244"/>
    <w:rsid w:val="00E3452F"/>
    <w:rsid w:val="00E365E8"/>
    <w:rsid w:val="00E42301"/>
    <w:rsid w:val="00E42487"/>
    <w:rsid w:val="00E44400"/>
    <w:rsid w:val="00E4473B"/>
    <w:rsid w:val="00E50070"/>
    <w:rsid w:val="00E5438D"/>
    <w:rsid w:val="00E560BF"/>
    <w:rsid w:val="00E57EBC"/>
    <w:rsid w:val="00E6090D"/>
    <w:rsid w:val="00E620A1"/>
    <w:rsid w:val="00E624BB"/>
    <w:rsid w:val="00E62B8E"/>
    <w:rsid w:val="00E635D5"/>
    <w:rsid w:val="00E65A4E"/>
    <w:rsid w:val="00E65FBF"/>
    <w:rsid w:val="00E7519A"/>
    <w:rsid w:val="00E752A3"/>
    <w:rsid w:val="00E761B6"/>
    <w:rsid w:val="00E770B6"/>
    <w:rsid w:val="00E807F7"/>
    <w:rsid w:val="00E80981"/>
    <w:rsid w:val="00E80EEE"/>
    <w:rsid w:val="00E81882"/>
    <w:rsid w:val="00E83EC5"/>
    <w:rsid w:val="00E850D7"/>
    <w:rsid w:val="00E86C38"/>
    <w:rsid w:val="00E9462B"/>
    <w:rsid w:val="00E95AF4"/>
    <w:rsid w:val="00E95D40"/>
    <w:rsid w:val="00E96578"/>
    <w:rsid w:val="00E96A50"/>
    <w:rsid w:val="00EA2394"/>
    <w:rsid w:val="00EA2629"/>
    <w:rsid w:val="00EA34B6"/>
    <w:rsid w:val="00EA4C20"/>
    <w:rsid w:val="00EA4CA3"/>
    <w:rsid w:val="00EA60BF"/>
    <w:rsid w:val="00EA6C92"/>
    <w:rsid w:val="00EA7637"/>
    <w:rsid w:val="00EB29BF"/>
    <w:rsid w:val="00EB4098"/>
    <w:rsid w:val="00EB6545"/>
    <w:rsid w:val="00EB7274"/>
    <w:rsid w:val="00EC0BAD"/>
    <w:rsid w:val="00EC26F5"/>
    <w:rsid w:val="00EC64CD"/>
    <w:rsid w:val="00ED0591"/>
    <w:rsid w:val="00ED2987"/>
    <w:rsid w:val="00ED63A2"/>
    <w:rsid w:val="00ED71AD"/>
    <w:rsid w:val="00EE118E"/>
    <w:rsid w:val="00EE2244"/>
    <w:rsid w:val="00EE380D"/>
    <w:rsid w:val="00EE435F"/>
    <w:rsid w:val="00EE444F"/>
    <w:rsid w:val="00EE44EA"/>
    <w:rsid w:val="00EE47E9"/>
    <w:rsid w:val="00EE61B5"/>
    <w:rsid w:val="00EE672A"/>
    <w:rsid w:val="00EE6C7B"/>
    <w:rsid w:val="00EF106F"/>
    <w:rsid w:val="00EF19AC"/>
    <w:rsid w:val="00EF2721"/>
    <w:rsid w:val="00EF28CE"/>
    <w:rsid w:val="00EF727F"/>
    <w:rsid w:val="00EF7559"/>
    <w:rsid w:val="00EF76DE"/>
    <w:rsid w:val="00EF7FB9"/>
    <w:rsid w:val="00F00473"/>
    <w:rsid w:val="00F01A7A"/>
    <w:rsid w:val="00F02E89"/>
    <w:rsid w:val="00F04324"/>
    <w:rsid w:val="00F05A81"/>
    <w:rsid w:val="00F07213"/>
    <w:rsid w:val="00F126E0"/>
    <w:rsid w:val="00F1367D"/>
    <w:rsid w:val="00F13FFB"/>
    <w:rsid w:val="00F16D56"/>
    <w:rsid w:val="00F22DE8"/>
    <w:rsid w:val="00F230A0"/>
    <w:rsid w:val="00F23555"/>
    <w:rsid w:val="00F26EA9"/>
    <w:rsid w:val="00F302B0"/>
    <w:rsid w:val="00F31DB9"/>
    <w:rsid w:val="00F34D49"/>
    <w:rsid w:val="00F3523D"/>
    <w:rsid w:val="00F354E2"/>
    <w:rsid w:val="00F36EFB"/>
    <w:rsid w:val="00F3782D"/>
    <w:rsid w:val="00F37E80"/>
    <w:rsid w:val="00F40085"/>
    <w:rsid w:val="00F40CA6"/>
    <w:rsid w:val="00F42731"/>
    <w:rsid w:val="00F453ED"/>
    <w:rsid w:val="00F45C61"/>
    <w:rsid w:val="00F45D13"/>
    <w:rsid w:val="00F5139F"/>
    <w:rsid w:val="00F51694"/>
    <w:rsid w:val="00F52423"/>
    <w:rsid w:val="00F525A3"/>
    <w:rsid w:val="00F5295D"/>
    <w:rsid w:val="00F52D10"/>
    <w:rsid w:val="00F53066"/>
    <w:rsid w:val="00F53590"/>
    <w:rsid w:val="00F538A3"/>
    <w:rsid w:val="00F55423"/>
    <w:rsid w:val="00F63A47"/>
    <w:rsid w:val="00F65488"/>
    <w:rsid w:val="00F664B6"/>
    <w:rsid w:val="00F71073"/>
    <w:rsid w:val="00F71464"/>
    <w:rsid w:val="00F72355"/>
    <w:rsid w:val="00F732F1"/>
    <w:rsid w:val="00F805B1"/>
    <w:rsid w:val="00F80730"/>
    <w:rsid w:val="00F813ED"/>
    <w:rsid w:val="00F81F36"/>
    <w:rsid w:val="00F8268A"/>
    <w:rsid w:val="00F859E1"/>
    <w:rsid w:val="00F8605C"/>
    <w:rsid w:val="00F869D9"/>
    <w:rsid w:val="00F9113F"/>
    <w:rsid w:val="00F93ED4"/>
    <w:rsid w:val="00F97AA2"/>
    <w:rsid w:val="00FA0710"/>
    <w:rsid w:val="00FA0EF8"/>
    <w:rsid w:val="00FA1559"/>
    <w:rsid w:val="00FA3ADE"/>
    <w:rsid w:val="00FA40D5"/>
    <w:rsid w:val="00FA4D39"/>
    <w:rsid w:val="00FA57DC"/>
    <w:rsid w:val="00FA60D0"/>
    <w:rsid w:val="00FA68AB"/>
    <w:rsid w:val="00FA6C64"/>
    <w:rsid w:val="00FB27A7"/>
    <w:rsid w:val="00FB285B"/>
    <w:rsid w:val="00FB2A4D"/>
    <w:rsid w:val="00FB3044"/>
    <w:rsid w:val="00FB502C"/>
    <w:rsid w:val="00FC0202"/>
    <w:rsid w:val="00FC0714"/>
    <w:rsid w:val="00FC1F4C"/>
    <w:rsid w:val="00FC28E6"/>
    <w:rsid w:val="00FC30F1"/>
    <w:rsid w:val="00FC43D5"/>
    <w:rsid w:val="00FC5CB4"/>
    <w:rsid w:val="00FD0694"/>
    <w:rsid w:val="00FD0BE0"/>
    <w:rsid w:val="00FD0D12"/>
    <w:rsid w:val="00FD24C8"/>
    <w:rsid w:val="00FD60A8"/>
    <w:rsid w:val="00FD7AE9"/>
    <w:rsid w:val="00FE18E2"/>
    <w:rsid w:val="00FE4358"/>
    <w:rsid w:val="00FE59A2"/>
    <w:rsid w:val="00FE62C0"/>
    <w:rsid w:val="00FE7E62"/>
    <w:rsid w:val="00FF10F5"/>
    <w:rsid w:val="00FF37D6"/>
    <w:rsid w:val="00FF74D6"/>
    <w:rsid w:val="0B7F614D"/>
    <w:rsid w:val="0FDF8EFB"/>
    <w:rsid w:val="1FE68811"/>
    <w:rsid w:val="2FF9FF7C"/>
    <w:rsid w:val="33BEDBB0"/>
    <w:rsid w:val="37F7A93A"/>
    <w:rsid w:val="3D7BE92B"/>
    <w:rsid w:val="3DFB4B27"/>
    <w:rsid w:val="3DFF825F"/>
    <w:rsid w:val="3EF78945"/>
    <w:rsid w:val="3FFDF840"/>
    <w:rsid w:val="48DF8332"/>
    <w:rsid w:val="4BBFD2DA"/>
    <w:rsid w:val="4EEF610E"/>
    <w:rsid w:val="57F79D51"/>
    <w:rsid w:val="5B7E6B5B"/>
    <w:rsid w:val="5BB9B562"/>
    <w:rsid w:val="5DFCB038"/>
    <w:rsid w:val="5FEECADB"/>
    <w:rsid w:val="5FF7CD3C"/>
    <w:rsid w:val="61273F2C"/>
    <w:rsid w:val="67EEA978"/>
    <w:rsid w:val="6BDEBE65"/>
    <w:rsid w:val="6E5FB0FB"/>
    <w:rsid w:val="73EF6171"/>
    <w:rsid w:val="73F31CA8"/>
    <w:rsid w:val="75F6DBE8"/>
    <w:rsid w:val="766562BF"/>
    <w:rsid w:val="77AFF701"/>
    <w:rsid w:val="77F51CFD"/>
    <w:rsid w:val="7A7FB57A"/>
    <w:rsid w:val="7AD5249B"/>
    <w:rsid w:val="7C7F938A"/>
    <w:rsid w:val="7CFE9149"/>
    <w:rsid w:val="7D77DD08"/>
    <w:rsid w:val="7EAAD2EA"/>
    <w:rsid w:val="7EEE53DB"/>
    <w:rsid w:val="7EF29D93"/>
    <w:rsid w:val="7EF70BCF"/>
    <w:rsid w:val="7F3F792D"/>
    <w:rsid w:val="7FD5F397"/>
    <w:rsid w:val="7FF9A34D"/>
    <w:rsid w:val="7FFDC763"/>
    <w:rsid w:val="87FF8610"/>
    <w:rsid w:val="977344DF"/>
    <w:rsid w:val="9B2F5082"/>
    <w:rsid w:val="9B7E72C0"/>
    <w:rsid w:val="A5AD2026"/>
    <w:rsid w:val="A6BDEF02"/>
    <w:rsid w:val="AF3F9680"/>
    <w:rsid w:val="AFDF3915"/>
    <w:rsid w:val="AFFB10A0"/>
    <w:rsid w:val="B3FFC4BE"/>
    <w:rsid w:val="B6DE15A7"/>
    <w:rsid w:val="B7937EF7"/>
    <w:rsid w:val="B957FED6"/>
    <w:rsid w:val="BBB79CE9"/>
    <w:rsid w:val="BD5FABA8"/>
    <w:rsid w:val="BF7BE3A6"/>
    <w:rsid w:val="BFEF55EE"/>
    <w:rsid w:val="C3BFBD34"/>
    <w:rsid w:val="C769B105"/>
    <w:rsid w:val="CFBD4FE7"/>
    <w:rsid w:val="D5F785B7"/>
    <w:rsid w:val="D77F6E1F"/>
    <w:rsid w:val="DBEF257B"/>
    <w:rsid w:val="DDF7D84C"/>
    <w:rsid w:val="DF5B9430"/>
    <w:rsid w:val="DFE9020C"/>
    <w:rsid w:val="DFF641AD"/>
    <w:rsid w:val="E7B74700"/>
    <w:rsid w:val="EDF7269B"/>
    <w:rsid w:val="F37EAC4D"/>
    <w:rsid w:val="F6FFB069"/>
    <w:rsid w:val="F7F86248"/>
    <w:rsid w:val="F7FDDC7A"/>
    <w:rsid w:val="F9FBFDFD"/>
    <w:rsid w:val="FBE51A7C"/>
    <w:rsid w:val="FCF9482A"/>
    <w:rsid w:val="FCFC785F"/>
    <w:rsid w:val="FE37BBA5"/>
    <w:rsid w:val="FEEE55E8"/>
    <w:rsid w:val="FEF676A7"/>
    <w:rsid w:val="FF26534B"/>
    <w:rsid w:val="FFBB169C"/>
    <w:rsid w:val="FFCF3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kern w:val="2"/>
      <w:sz w:val="24"/>
      <w:szCs w:val="22"/>
      <w:lang w:val="en-US" w:eastAsia="zh-TW" w:bidi="ar-SA"/>
    </w:rPr>
  </w:style>
  <w:style w:type="paragraph" w:styleId="2">
    <w:name w:val="heading 3"/>
    <w:basedOn w:val="1"/>
    <w:next w:val="1"/>
    <w:link w:val="22"/>
    <w:unhideWhenUsed/>
    <w:qFormat/>
    <w:uiPriority w:val="9"/>
    <w:pPr>
      <w:keepNext/>
      <w:spacing w:line="720" w:lineRule="auto"/>
      <w:outlineLvl w:val="2"/>
    </w:pPr>
    <w:rPr>
      <w:rFonts w:asciiTheme="majorHAnsi" w:hAnsiTheme="majorHAnsi" w:eastAsiaTheme="majorEastAsia" w:cstheme="majorBidi"/>
      <w:b/>
      <w:bCs/>
      <w:sz w:val="36"/>
      <w:szCs w:val="36"/>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5"/>
    <w:semiHidden/>
    <w:unhideWhenUsed/>
    <w:uiPriority w:val="99"/>
  </w:style>
  <w:style w:type="paragraph" w:styleId="4">
    <w:name w:val="Balloon Text"/>
    <w:basedOn w:val="1"/>
    <w:link w:val="17"/>
    <w:semiHidden/>
    <w:unhideWhenUsed/>
    <w:uiPriority w:val="99"/>
    <w:rPr>
      <w:rFonts w:asciiTheme="majorHAnsi" w:hAnsiTheme="majorHAnsi" w:eastAsiaTheme="majorEastAsia" w:cstheme="majorBidi"/>
      <w:sz w:val="18"/>
      <w:szCs w:val="18"/>
    </w:rPr>
  </w:style>
  <w:style w:type="paragraph" w:styleId="5">
    <w:name w:val="footer"/>
    <w:basedOn w:val="1"/>
    <w:link w:val="14"/>
    <w:unhideWhenUsed/>
    <w:uiPriority w:val="99"/>
    <w:pPr>
      <w:tabs>
        <w:tab w:val="center" w:pos="4153"/>
        <w:tab w:val="right" w:pos="8306"/>
      </w:tabs>
      <w:snapToGrid w:val="0"/>
    </w:pPr>
    <w:rPr>
      <w:sz w:val="20"/>
      <w:szCs w:val="20"/>
    </w:rPr>
  </w:style>
  <w:style w:type="paragraph" w:styleId="6">
    <w:name w:val="header"/>
    <w:basedOn w:val="1"/>
    <w:link w:val="13"/>
    <w:unhideWhenUsed/>
    <w:uiPriority w:val="99"/>
    <w:pPr>
      <w:tabs>
        <w:tab w:val="center" w:pos="4153"/>
        <w:tab w:val="right" w:pos="8306"/>
      </w:tabs>
      <w:snapToGrid w:val="0"/>
    </w:pPr>
    <w:rPr>
      <w:sz w:val="20"/>
      <w:szCs w:val="20"/>
    </w:rPr>
  </w:style>
  <w:style w:type="paragraph" w:styleId="7">
    <w:name w:val="Normal (Web)"/>
    <w:basedOn w:val="1"/>
    <w:qFormat/>
    <w:uiPriority w:val="99"/>
    <w:pPr>
      <w:spacing w:beforeAutospacing="1" w:afterAutospacing="1"/>
    </w:pPr>
    <w:rPr>
      <w:rFonts w:cs="Times New Roman"/>
      <w:kern w:val="0"/>
      <w:szCs w:val="24"/>
    </w:rPr>
  </w:style>
  <w:style w:type="paragraph" w:styleId="8">
    <w:name w:val="annotation subject"/>
    <w:basedOn w:val="3"/>
    <w:next w:val="3"/>
    <w:link w:val="16"/>
    <w:semiHidden/>
    <w:unhideWhenUsed/>
    <w:uiPriority w:val="99"/>
    <w:rPr>
      <w:b/>
      <w:bCs/>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semiHidden/>
    <w:unhideWhenUsed/>
    <w:uiPriority w:val="99"/>
    <w:rPr>
      <w:sz w:val="18"/>
      <w:szCs w:val="18"/>
    </w:rPr>
  </w:style>
  <w:style w:type="character" w:customStyle="1" w:styleId="13">
    <w:name w:val="頁首 字元"/>
    <w:basedOn w:val="11"/>
    <w:link w:val="6"/>
    <w:uiPriority w:val="99"/>
    <w:rPr>
      <w:sz w:val="20"/>
      <w:szCs w:val="20"/>
    </w:rPr>
  </w:style>
  <w:style w:type="character" w:customStyle="1" w:styleId="14">
    <w:name w:val="頁尾 字元"/>
    <w:basedOn w:val="11"/>
    <w:link w:val="5"/>
    <w:uiPriority w:val="99"/>
    <w:rPr>
      <w:sz w:val="20"/>
      <w:szCs w:val="20"/>
    </w:rPr>
  </w:style>
  <w:style w:type="character" w:customStyle="1" w:styleId="15">
    <w:name w:val="註解文字 字元"/>
    <w:basedOn w:val="11"/>
    <w:link w:val="3"/>
    <w:semiHidden/>
    <w:uiPriority w:val="99"/>
  </w:style>
  <w:style w:type="character" w:customStyle="1" w:styleId="16">
    <w:name w:val="註解主旨 字元"/>
    <w:basedOn w:val="15"/>
    <w:link w:val="8"/>
    <w:semiHidden/>
    <w:uiPriority w:val="99"/>
    <w:rPr>
      <w:b/>
      <w:bCs/>
    </w:rPr>
  </w:style>
  <w:style w:type="character" w:customStyle="1" w:styleId="17">
    <w:name w:val="註解方塊文字 字元"/>
    <w:basedOn w:val="11"/>
    <w:link w:val="4"/>
    <w:semiHidden/>
    <w:uiPriority w:val="99"/>
    <w:rPr>
      <w:rFonts w:asciiTheme="majorHAnsi" w:hAnsiTheme="majorHAnsi" w:eastAsiaTheme="majorEastAsia" w:cstheme="majorBidi"/>
      <w:sz w:val="18"/>
      <w:szCs w:val="18"/>
    </w:rPr>
  </w:style>
  <w:style w:type="paragraph" w:customStyle="1" w:styleId="18">
    <w:name w:val="參考文獻"/>
    <w:basedOn w:val="1"/>
    <w:link w:val="19"/>
    <w:uiPriority w:val="99"/>
    <w:pPr>
      <w:ind w:left="480" w:hanging="480"/>
    </w:pPr>
    <w:rPr>
      <w:rFonts w:ascii="Times New Roman" w:hAnsi="Times New Roman" w:eastAsia="標楷體" w:cs="PMingLiU"/>
      <w:szCs w:val="20"/>
    </w:rPr>
  </w:style>
  <w:style w:type="character" w:customStyle="1" w:styleId="19">
    <w:name w:val="參考文獻 字元"/>
    <w:link w:val="18"/>
    <w:locked/>
    <w:uiPriority w:val="99"/>
    <w:rPr>
      <w:rFonts w:ascii="Times New Roman" w:hAnsi="Times New Roman" w:eastAsia="標楷體" w:cs="PMingLiU"/>
      <w:szCs w:val="20"/>
    </w:rPr>
  </w:style>
  <w:style w:type="paragraph" w:styleId="20">
    <w:name w:val="List Paragraph"/>
    <w:basedOn w:val="1"/>
    <w:qFormat/>
    <w:uiPriority w:val="34"/>
    <w:pPr>
      <w:ind w:left="480" w:leftChars="200"/>
    </w:pPr>
  </w:style>
  <w:style w:type="table" w:customStyle="1" w:styleId="21">
    <w:name w:val="表格格線1"/>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
    <w:name w:val="標題 3 字元"/>
    <w:basedOn w:val="11"/>
    <w:link w:val="2"/>
    <w:uiPriority w:val="9"/>
    <w:rPr>
      <w:rFonts w:asciiTheme="majorHAnsi" w:hAnsiTheme="majorHAnsi" w:eastAsiaTheme="majorEastAsia" w:cstheme="majorBidi"/>
      <w:b/>
      <w:bCs/>
      <w:sz w:val="36"/>
      <w:szCs w:val="36"/>
    </w:rPr>
  </w:style>
  <w:style w:type="character" w:customStyle="1" w:styleId="23">
    <w:name w:val="apple-converted-space"/>
    <w:basedOn w:val="11"/>
    <w:uiPriority w:val="0"/>
  </w:style>
  <w:style w:type="character" w:customStyle="1" w:styleId="24">
    <w:name w:val="querysrchterm"/>
    <w:basedOn w:val="11"/>
    <w:uiPriority w:val="0"/>
  </w:style>
  <w:style w:type="paragraph" w:customStyle="1" w:styleId="25">
    <w:name w:val="Revision"/>
    <w:hidden/>
    <w:semiHidden/>
    <w:uiPriority w:val="99"/>
    <w:rPr>
      <w:rFonts w:asciiTheme="minorHAnsi" w:hAnsiTheme="minorHAnsi" w:eastAsiaTheme="minorEastAsia" w:cstheme="minorBidi"/>
      <w:kern w:val="2"/>
      <w:sz w:val="24"/>
      <w:szCs w:val="22"/>
      <w:lang w:val="en-US" w:eastAsia="zh-TW" w:bidi="ar-SA"/>
    </w:rPr>
  </w:style>
  <w:style w:type="paragraph" w:customStyle="1" w:styleId="26">
    <w:name w:val="References"/>
    <w:basedOn w:val="1"/>
    <w:qFormat/>
    <w:uiPriority w:val="0"/>
    <w:pPr>
      <w:spacing w:before="120" w:line="360" w:lineRule="auto"/>
      <w:ind w:left="720" w:hanging="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5820</Words>
  <Characters>32941</Characters>
  <Lines>497</Lines>
  <Paragraphs>140</Paragraphs>
  <TotalTime>22</TotalTime>
  <ScaleCrop>false</ScaleCrop>
  <LinksUpToDate>false</LinksUpToDate>
  <CharactersWithSpaces>38663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2024-03-07T15:54:00Z</dcterms:created>
  <dc:creator>user</dc:creator>
  <cp:lastModifiedBy>布蜀黍&amp;&amp;&amp;</cp:lastModifiedBy>
  <cp:lastPrinted>2020-04-23T16:38:00Z</cp:lastPrinted>
  <dcterms:modified xsi:type="dcterms:W3CDTF">2025-06-26T12:12:41Z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24DF48CEC0BA478881520055224B499F_13</vt:lpwstr>
  </property>
</Properties>
</file>